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22511CA3"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AA5907">
        <w:rPr>
          <w:rFonts w:ascii="Arial" w:eastAsia="Batang" w:hAnsi="Arial" w:cs="Arial"/>
          <w:b/>
          <w:bCs/>
          <w:szCs w:val="22"/>
        </w:rPr>
        <w:t>7</w:t>
      </w:r>
      <w:r w:rsidRPr="00074926">
        <w:rPr>
          <w:rFonts w:ascii="Arial" w:eastAsia="Batang" w:hAnsi="Arial" w:cs="Arial"/>
          <w:b/>
          <w:bCs/>
          <w:szCs w:val="22"/>
        </w:rPr>
        <w:tab/>
      </w:r>
      <w:r w:rsidRPr="00074926">
        <w:rPr>
          <w:rFonts w:ascii="Arial" w:eastAsia="Batang" w:hAnsi="Arial" w:cs="Arial"/>
          <w:b/>
          <w:bCs/>
          <w:szCs w:val="22"/>
        </w:rPr>
        <w:tab/>
      </w:r>
      <w:r w:rsidR="00EF4262" w:rsidRPr="00EF4262">
        <w:rPr>
          <w:rFonts w:ascii="Arial" w:eastAsia="Batang" w:hAnsi="Arial" w:cs="Arial"/>
          <w:b/>
          <w:bCs/>
          <w:szCs w:val="22"/>
        </w:rPr>
        <w:t>R1-1906844</w:t>
      </w:r>
    </w:p>
    <w:p w14:paraId="3B0F6453" w14:textId="58410E51" w:rsidR="00855F39" w:rsidRPr="00074926" w:rsidRDefault="00AA590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Reno, USA, May 13</w:t>
      </w:r>
      <w:r w:rsidRPr="00AA590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17</w:t>
      </w:r>
      <w:r w:rsidRPr="00AA5907">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4DF920D"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7D07F1">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3629800"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7D07F1" w:rsidRPr="007D07F1">
        <w:rPr>
          <w:b/>
          <w:color w:val="000000"/>
          <w:lang w:val="en-US"/>
        </w:rPr>
        <w:t>UL Inter UE transmission prioritisation &amp; multiplexing</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2F28265" w:rsidR="004D5BF4" w:rsidRDefault="004D5BF4" w:rsidP="004D5BF4">
      <w:pPr>
        <w:rPr>
          <w:rFonts w:eastAsia="MS Mincho"/>
          <w:lang w:val="en-US"/>
        </w:rPr>
      </w:pPr>
      <w:r>
        <w:rPr>
          <w:rFonts w:eastAsia="MS Mincho"/>
          <w:lang w:val="en-US"/>
        </w:rPr>
        <w:t>In RAN</w:t>
      </w:r>
      <w:r w:rsidR="007D59B0">
        <w:rPr>
          <w:rFonts w:eastAsia="MS Mincho"/>
          <w:lang w:val="en-US"/>
        </w:rPr>
        <w:t>#</w:t>
      </w:r>
      <w:r w:rsidR="00AA5907">
        <w:rPr>
          <w:rFonts w:eastAsia="MS Mincho"/>
          <w:lang w:val="en-US"/>
        </w:rPr>
        <w:t>96bis</w:t>
      </w:r>
      <w:r>
        <w:rPr>
          <w:rFonts w:eastAsia="MS Mincho"/>
          <w:lang w:val="en-US"/>
        </w:rPr>
        <w:t xml:space="preserve">, we </w:t>
      </w:r>
      <w:r w:rsidR="007D07F1">
        <w:rPr>
          <w:rFonts w:eastAsia="MS Mincho"/>
          <w:lang w:val="en-US"/>
        </w:rPr>
        <w:t>made the following working assumption and agreements</w:t>
      </w:r>
      <w:r w:rsidR="00AA5907">
        <w:rPr>
          <w:rFonts w:eastAsia="MS Mincho"/>
          <w:lang w:val="en-US"/>
        </w:rPr>
        <w:t>:</w:t>
      </w:r>
    </w:p>
    <w:p w14:paraId="0969610C" w14:textId="77777777" w:rsidR="007D07F1" w:rsidRPr="007D07F1" w:rsidRDefault="007D07F1" w:rsidP="007D07F1">
      <w:pPr>
        <w:ind w:left="400"/>
        <w:rPr>
          <w:i/>
          <w:highlight w:val="darkYellow"/>
        </w:rPr>
      </w:pPr>
      <w:r w:rsidRPr="007D07F1">
        <w:rPr>
          <w:i/>
          <w:highlight w:val="darkYellow"/>
        </w:rPr>
        <w:t>Working assumption:</w:t>
      </w:r>
    </w:p>
    <w:p w14:paraId="2ABCB1AC" w14:textId="77777777" w:rsidR="007D07F1" w:rsidRPr="007D07F1" w:rsidRDefault="007D07F1" w:rsidP="007D07F1">
      <w:pPr>
        <w:pStyle w:val="ListParagraph"/>
        <w:numPr>
          <w:ilvl w:val="0"/>
          <w:numId w:val="41"/>
        </w:numPr>
        <w:overflowPunct w:val="0"/>
        <w:autoSpaceDE w:val="0"/>
        <w:autoSpaceDN w:val="0"/>
        <w:adjustRightInd w:val="0"/>
        <w:snapToGrid w:val="0"/>
        <w:spacing w:beforeLines="50" w:before="120" w:afterLines="50" w:after="120" w:line="360" w:lineRule="auto"/>
        <w:ind w:left="1220"/>
        <w:textAlignment w:val="baseline"/>
        <w:rPr>
          <w:bCs/>
          <w:i/>
          <w:iCs/>
          <w:lang w:eastAsia="zh-CN"/>
        </w:rPr>
      </w:pPr>
      <w:r w:rsidRPr="007D07F1">
        <w:rPr>
          <w:rFonts w:hint="eastAsia"/>
          <w:bCs/>
          <w:i/>
          <w:iCs/>
          <w:lang w:eastAsia="zh-CN"/>
        </w:rPr>
        <w:t xml:space="preserve">PDCCH is used for UL cancelation indication </w:t>
      </w:r>
    </w:p>
    <w:p w14:paraId="23F8E2B0" w14:textId="77777777" w:rsidR="007D07F1" w:rsidRPr="007D07F1" w:rsidRDefault="007D07F1" w:rsidP="007D07F1">
      <w:pPr>
        <w:pStyle w:val="ListParagraph"/>
        <w:numPr>
          <w:ilvl w:val="1"/>
          <w:numId w:val="42"/>
        </w:numPr>
        <w:overflowPunct w:val="0"/>
        <w:autoSpaceDE w:val="0"/>
        <w:autoSpaceDN w:val="0"/>
        <w:adjustRightInd w:val="0"/>
        <w:snapToGrid w:val="0"/>
        <w:spacing w:beforeLines="50" w:before="120" w:afterLines="50" w:after="120" w:line="360" w:lineRule="auto"/>
        <w:ind w:left="1640"/>
        <w:textAlignment w:val="baseline"/>
        <w:rPr>
          <w:bCs/>
          <w:i/>
          <w:iCs/>
          <w:lang w:eastAsia="zh-CN"/>
        </w:rPr>
      </w:pPr>
      <w:r w:rsidRPr="007D07F1">
        <w:rPr>
          <w:rFonts w:hint="eastAsia"/>
          <w:bCs/>
          <w:i/>
          <w:iCs/>
          <w:lang w:eastAsia="zh-CN"/>
        </w:rPr>
        <w:t>The Working assumption can be revisit</w:t>
      </w:r>
      <w:r w:rsidRPr="007D07F1">
        <w:rPr>
          <w:bCs/>
          <w:i/>
          <w:iCs/>
          <w:lang w:eastAsia="zh-CN"/>
        </w:rPr>
        <w:t>ed</w:t>
      </w:r>
      <w:r w:rsidRPr="007D07F1">
        <w:rPr>
          <w:rFonts w:hint="eastAsia"/>
          <w:bCs/>
          <w:i/>
          <w:iCs/>
          <w:lang w:eastAsia="zh-CN"/>
        </w:rPr>
        <w:t xml:space="preserve"> if the DCI for cancelation indication only carry very small number of information bits, e.g. 1 bit. </w:t>
      </w:r>
    </w:p>
    <w:p w14:paraId="605B6D91" w14:textId="77777777" w:rsidR="007D07F1" w:rsidRPr="007D07F1" w:rsidRDefault="007D07F1" w:rsidP="007D07F1">
      <w:pPr>
        <w:pStyle w:val="ListParagraph"/>
        <w:numPr>
          <w:ilvl w:val="0"/>
          <w:numId w:val="42"/>
        </w:numPr>
        <w:ind w:left="1220"/>
        <w:rPr>
          <w:rFonts w:eastAsia="MS Mincho"/>
          <w:i/>
          <w:lang w:val="en-US"/>
        </w:rPr>
      </w:pPr>
      <w:r w:rsidRPr="007D07F1">
        <w:rPr>
          <w:rFonts w:eastAsia="MS Mincho"/>
          <w:i/>
          <w:lang w:val="en-US"/>
        </w:rPr>
        <w:t xml:space="preserve">This contribution discusses some considerations in using Option 4 and Option 6 for PUSCH enhancement.  </w:t>
      </w:r>
    </w:p>
    <w:p w14:paraId="7500594C" w14:textId="77777777" w:rsidR="007D07F1" w:rsidRPr="007D07F1" w:rsidRDefault="007D07F1" w:rsidP="007D07F1">
      <w:pPr>
        <w:pStyle w:val="ListParagraph"/>
        <w:overflowPunct w:val="0"/>
        <w:autoSpaceDE w:val="0"/>
        <w:autoSpaceDN w:val="0"/>
        <w:adjustRightInd w:val="0"/>
        <w:snapToGrid w:val="0"/>
        <w:spacing w:beforeLines="50" w:before="120" w:afterLines="50" w:after="120" w:line="360" w:lineRule="auto"/>
        <w:ind w:left="400"/>
        <w:textAlignment w:val="baseline"/>
        <w:rPr>
          <w:bCs/>
          <w:i/>
          <w:iCs/>
          <w:highlight w:val="green"/>
          <w:lang w:eastAsia="zh-CN"/>
        </w:rPr>
      </w:pPr>
    </w:p>
    <w:p w14:paraId="2D21DF56" w14:textId="77777777" w:rsidR="007D07F1" w:rsidRPr="007D07F1" w:rsidRDefault="007D07F1" w:rsidP="007D07F1">
      <w:pPr>
        <w:pStyle w:val="ListParagraph"/>
        <w:overflowPunct w:val="0"/>
        <w:autoSpaceDE w:val="0"/>
        <w:autoSpaceDN w:val="0"/>
        <w:adjustRightInd w:val="0"/>
        <w:snapToGrid w:val="0"/>
        <w:spacing w:beforeLines="50" w:before="120" w:afterLines="50" w:after="120" w:line="360" w:lineRule="auto"/>
        <w:ind w:left="400"/>
        <w:textAlignment w:val="baseline"/>
        <w:rPr>
          <w:bCs/>
          <w:i/>
          <w:iCs/>
          <w:lang w:eastAsia="zh-CN"/>
        </w:rPr>
      </w:pPr>
      <w:r w:rsidRPr="007D07F1">
        <w:rPr>
          <w:bCs/>
          <w:i/>
          <w:iCs/>
          <w:highlight w:val="green"/>
          <w:lang w:eastAsia="zh-CN"/>
        </w:rPr>
        <w:t>Agreements</w:t>
      </w:r>
      <w:r w:rsidRPr="007D07F1">
        <w:rPr>
          <w:bCs/>
          <w:i/>
          <w:iCs/>
          <w:lang w:eastAsia="zh-CN"/>
        </w:rPr>
        <w:t>:</w:t>
      </w:r>
    </w:p>
    <w:p w14:paraId="0781BA2A" w14:textId="77777777" w:rsidR="007D07F1" w:rsidRPr="007D07F1" w:rsidRDefault="007D07F1" w:rsidP="007D07F1">
      <w:pPr>
        <w:pStyle w:val="ListParagraph"/>
        <w:numPr>
          <w:ilvl w:val="0"/>
          <w:numId w:val="43"/>
        </w:numPr>
        <w:overflowPunct w:val="0"/>
        <w:autoSpaceDE w:val="0"/>
        <w:autoSpaceDN w:val="0"/>
        <w:adjustRightInd w:val="0"/>
        <w:snapToGrid w:val="0"/>
        <w:spacing w:beforeLines="50" w:before="120" w:afterLines="50" w:after="120" w:line="360" w:lineRule="auto"/>
        <w:ind w:left="1220"/>
        <w:textAlignment w:val="baseline"/>
        <w:rPr>
          <w:bCs/>
          <w:i/>
          <w:iCs/>
          <w:lang w:eastAsia="zh-CN"/>
        </w:rPr>
      </w:pPr>
      <w:r w:rsidRPr="007D07F1">
        <w:rPr>
          <w:rFonts w:hint="eastAsia"/>
          <w:bCs/>
          <w:i/>
          <w:iCs/>
          <w:lang w:eastAsia="zh-CN"/>
        </w:rPr>
        <w:t>Upon detecting an UL cancelation indication, at least stop without resum</w:t>
      </w:r>
      <w:r w:rsidRPr="007D07F1">
        <w:rPr>
          <w:bCs/>
          <w:i/>
          <w:iCs/>
          <w:lang w:eastAsia="zh-CN"/>
        </w:rPr>
        <w:t>ing</w:t>
      </w:r>
      <w:r w:rsidRPr="007D07F1">
        <w:rPr>
          <w:rFonts w:hint="eastAsia"/>
          <w:bCs/>
          <w:i/>
          <w:iCs/>
          <w:lang w:eastAsia="zh-CN"/>
        </w:rPr>
        <w:t xml:space="preserve"> is supported</w:t>
      </w:r>
    </w:p>
    <w:p w14:paraId="16CFA185" w14:textId="77777777" w:rsidR="007D07F1" w:rsidRPr="007D07F1" w:rsidRDefault="007D07F1" w:rsidP="007D07F1">
      <w:pPr>
        <w:pStyle w:val="ListParagraph"/>
        <w:numPr>
          <w:ilvl w:val="1"/>
          <w:numId w:val="42"/>
        </w:numPr>
        <w:overflowPunct w:val="0"/>
        <w:autoSpaceDE w:val="0"/>
        <w:autoSpaceDN w:val="0"/>
        <w:adjustRightInd w:val="0"/>
        <w:snapToGrid w:val="0"/>
        <w:spacing w:beforeLines="50" w:before="120" w:afterLines="50" w:after="120" w:line="360" w:lineRule="auto"/>
        <w:ind w:left="1640"/>
        <w:textAlignment w:val="baseline"/>
        <w:rPr>
          <w:bCs/>
          <w:i/>
          <w:iCs/>
          <w:lang w:eastAsia="zh-CN"/>
        </w:rPr>
      </w:pPr>
      <w:r w:rsidRPr="007D07F1">
        <w:rPr>
          <w:rFonts w:hint="eastAsia"/>
          <w:bCs/>
          <w:i/>
          <w:iCs/>
          <w:lang w:eastAsia="zh-CN"/>
        </w:rPr>
        <w:t>FFS whether and how to support stop with resum</w:t>
      </w:r>
      <w:r w:rsidRPr="007D07F1">
        <w:rPr>
          <w:bCs/>
          <w:i/>
          <w:iCs/>
          <w:lang w:eastAsia="zh-CN"/>
        </w:rPr>
        <w:t>e</w:t>
      </w:r>
      <w:r w:rsidRPr="007D07F1">
        <w:rPr>
          <w:rFonts w:hint="eastAsia"/>
          <w:bCs/>
          <w:i/>
          <w:iCs/>
          <w:lang w:eastAsia="zh-CN"/>
        </w:rPr>
        <w:t xml:space="preserve"> </w:t>
      </w:r>
    </w:p>
    <w:p w14:paraId="36743100" w14:textId="77777777" w:rsidR="007D07F1" w:rsidRPr="007D07F1" w:rsidRDefault="007D07F1" w:rsidP="007D07F1">
      <w:pPr>
        <w:ind w:left="400"/>
        <w:rPr>
          <w:i/>
        </w:rPr>
      </w:pPr>
      <w:r w:rsidRPr="007D07F1">
        <w:rPr>
          <w:i/>
          <w:highlight w:val="green"/>
        </w:rPr>
        <w:t>Agreements</w:t>
      </w:r>
      <w:r w:rsidRPr="007D07F1">
        <w:rPr>
          <w:i/>
        </w:rPr>
        <w:t>:</w:t>
      </w:r>
    </w:p>
    <w:p w14:paraId="2288A3FE" w14:textId="77777777" w:rsidR="007D07F1" w:rsidRPr="007D07F1" w:rsidRDefault="007D07F1" w:rsidP="007D07F1">
      <w:pPr>
        <w:pStyle w:val="ListParagraph"/>
        <w:numPr>
          <w:ilvl w:val="0"/>
          <w:numId w:val="43"/>
        </w:numPr>
        <w:overflowPunct w:val="0"/>
        <w:autoSpaceDE w:val="0"/>
        <w:autoSpaceDN w:val="0"/>
        <w:adjustRightInd w:val="0"/>
        <w:snapToGrid w:val="0"/>
        <w:spacing w:beforeLines="50" w:before="120" w:afterLines="50" w:after="120" w:line="360" w:lineRule="auto"/>
        <w:ind w:left="1220"/>
        <w:textAlignment w:val="baseline"/>
        <w:rPr>
          <w:bCs/>
          <w:i/>
          <w:iCs/>
          <w:lang w:eastAsia="zh-CN"/>
        </w:rPr>
      </w:pPr>
      <w:r w:rsidRPr="007D07F1">
        <w:rPr>
          <w:rFonts w:hint="eastAsia"/>
          <w:bCs/>
          <w:i/>
          <w:iCs/>
          <w:lang w:eastAsia="zh-CN"/>
        </w:rPr>
        <w:t xml:space="preserve">Further discuss which UL transmissions that can potentially be cancelled by the UL cancelation </w:t>
      </w:r>
      <w:r w:rsidRPr="007D07F1">
        <w:rPr>
          <w:bCs/>
          <w:i/>
          <w:iCs/>
          <w:lang w:eastAsia="zh-CN"/>
        </w:rPr>
        <w:t>indication</w:t>
      </w:r>
      <w:r w:rsidRPr="007D07F1">
        <w:rPr>
          <w:rFonts w:hint="eastAsia"/>
          <w:bCs/>
          <w:i/>
          <w:iCs/>
          <w:lang w:eastAsia="zh-CN"/>
        </w:rPr>
        <w:t>, including</w:t>
      </w:r>
    </w:p>
    <w:p w14:paraId="6F081CB0" w14:textId="77777777" w:rsidR="007D07F1" w:rsidRPr="007D07F1" w:rsidRDefault="007D07F1" w:rsidP="007D07F1">
      <w:pPr>
        <w:pStyle w:val="ListParagraph"/>
        <w:numPr>
          <w:ilvl w:val="1"/>
          <w:numId w:val="42"/>
        </w:numPr>
        <w:overflowPunct w:val="0"/>
        <w:autoSpaceDE w:val="0"/>
        <w:autoSpaceDN w:val="0"/>
        <w:adjustRightInd w:val="0"/>
        <w:snapToGrid w:val="0"/>
        <w:spacing w:beforeLines="50" w:before="120" w:afterLines="50" w:after="120" w:line="360" w:lineRule="auto"/>
        <w:ind w:left="1640"/>
        <w:textAlignment w:val="baseline"/>
        <w:rPr>
          <w:bCs/>
          <w:i/>
          <w:iCs/>
          <w:lang w:eastAsia="zh-CN"/>
        </w:rPr>
      </w:pPr>
      <w:r w:rsidRPr="007D07F1">
        <w:rPr>
          <w:rFonts w:hint="eastAsia"/>
          <w:bCs/>
          <w:i/>
          <w:iCs/>
          <w:lang w:eastAsia="zh-CN"/>
        </w:rPr>
        <w:t xml:space="preserve">Dynamic </w:t>
      </w:r>
      <w:r w:rsidRPr="007D07F1">
        <w:rPr>
          <w:bCs/>
          <w:i/>
          <w:iCs/>
          <w:lang w:eastAsia="zh-CN"/>
        </w:rPr>
        <w:t>scheduled</w:t>
      </w:r>
      <w:r w:rsidRPr="007D07F1">
        <w:rPr>
          <w:rFonts w:hint="eastAsia"/>
          <w:bCs/>
          <w:i/>
          <w:iCs/>
          <w:lang w:eastAsia="zh-CN"/>
        </w:rPr>
        <w:t xml:space="preserve"> UL transmissions, including PUSCH, PUCCH, SRS</w:t>
      </w:r>
    </w:p>
    <w:p w14:paraId="25418ED7" w14:textId="77777777" w:rsidR="007D07F1" w:rsidRPr="007D07F1" w:rsidRDefault="007D07F1" w:rsidP="007D07F1">
      <w:pPr>
        <w:pStyle w:val="ListParagraph"/>
        <w:numPr>
          <w:ilvl w:val="1"/>
          <w:numId w:val="42"/>
        </w:numPr>
        <w:overflowPunct w:val="0"/>
        <w:autoSpaceDE w:val="0"/>
        <w:autoSpaceDN w:val="0"/>
        <w:adjustRightInd w:val="0"/>
        <w:snapToGrid w:val="0"/>
        <w:spacing w:beforeLines="50" w:before="120" w:afterLines="50" w:after="120" w:line="360" w:lineRule="auto"/>
        <w:ind w:left="1640"/>
        <w:textAlignment w:val="baseline"/>
        <w:rPr>
          <w:bCs/>
          <w:i/>
          <w:iCs/>
          <w:lang w:eastAsia="zh-CN"/>
        </w:rPr>
      </w:pPr>
      <w:r w:rsidRPr="007D07F1">
        <w:rPr>
          <w:rFonts w:hint="eastAsia"/>
          <w:bCs/>
          <w:i/>
          <w:iCs/>
          <w:lang w:eastAsia="zh-CN"/>
        </w:rPr>
        <w:t>Semi-persistent UL transmissions, including PUSCH, PUCCH, SRS</w:t>
      </w:r>
    </w:p>
    <w:p w14:paraId="5F118E2B" w14:textId="77777777" w:rsidR="007D07F1" w:rsidRPr="007D07F1" w:rsidRDefault="007D07F1" w:rsidP="007D07F1">
      <w:pPr>
        <w:pStyle w:val="ListParagraph"/>
        <w:numPr>
          <w:ilvl w:val="1"/>
          <w:numId w:val="42"/>
        </w:numPr>
        <w:overflowPunct w:val="0"/>
        <w:autoSpaceDE w:val="0"/>
        <w:autoSpaceDN w:val="0"/>
        <w:adjustRightInd w:val="0"/>
        <w:snapToGrid w:val="0"/>
        <w:spacing w:beforeLines="50" w:before="120" w:afterLines="50" w:after="120" w:line="360" w:lineRule="auto"/>
        <w:ind w:left="1640"/>
        <w:textAlignment w:val="baseline"/>
        <w:rPr>
          <w:bCs/>
          <w:i/>
          <w:iCs/>
          <w:lang w:eastAsia="zh-CN"/>
        </w:rPr>
      </w:pPr>
      <w:r w:rsidRPr="007D07F1">
        <w:rPr>
          <w:rFonts w:hint="eastAsia"/>
          <w:bCs/>
          <w:i/>
          <w:iCs/>
          <w:lang w:eastAsia="zh-CN"/>
        </w:rPr>
        <w:t>Periodic UL transmissions, including configured grant PUSCH, PUCCH, SRS</w:t>
      </w:r>
    </w:p>
    <w:p w14:paraId="3F87ED13" w14:textId="77777777" w:rsidR="007D07F1" w:rsidRPr="007D07F1" w:rsidRDefault="007D07F1" w:rsidP="007D07F1">
      <w:pPr>
        <w:pStyle w:val="ListParagraph"/>
        <w:numPr>
          <w:ilvl w:val="1"/>
          <w:numId w:val="42"/>
        </w:numPr>
        <w:overflowPunct w:val="0"/>
        <w:autoSpaceDE w:val="0"/>
        <w:autoSpaceDN w:val="0"/>
        <w:adjustRightInd w:val="0"/>
        <w:snapToGrid w:val="0"/>
        <w:spacing w:beforeLines="50" w:before="120" w:afterLines="50" w:after="120" w:line="360" w:lineRule="auto"/>
        <w:ind w:left="1640"/>
        <w:textAlignment w:val="baseline"/>
        <w:rPr>
          <w:bCs/>
          <w:i/>
          <w:iCs/>
          <w:lang w:eastAsia="zh-CN"/>
        </w:rPr>
      </w:pPr>
      <w:r w:rsidRPr="007D07F1">
        <w:rPr>
          <w:rFonts w:hint="eastAsia"/>
          <w:bCs/>
          <w:i/>
          <w:iCs/>
          <w:lang w:eastAsia="zh-CN"/>
        </w:rPr>
        <w:t>PRACH</w:t>
      </w:r>
    </w:p>
    <w:p w14:paraId="5C9EC97E" w14:textId="77777777" w:rsidR="007D07F1" w:rsidRPr="007D07F1" w:rsidRDefault="007D07F1" w:rsidP="007D07F1">
      <w:pPr>
        <w:ind w:left="400"/>
        <w:rPr>
          <w:i/>
        </w:rPr>
      </w:pPr>
    </w:p>
    <w:p w14:paraId="52A4CD93" w14:textId="77777777" w:rsidR="007D07F1" w:rsidRPr="007D07F1" w:rsidRDefault="007D07F1" w:rsidP="007D07F1">
      <w:pPr>
        <w:ind w:left="400"/>
        <w:rPr>
          <w:i/>
        </w:rPr>
      </w:pPr>
      <w:r w:rsidRPr="007D07F1">
        <w:rPr>
          <w:i/>
          <w:highlight w:val="green"/>
        </w:rPr>
        <w:t>Agreements</w:t>
      </w:r>
      <w:r w:rsidRPr="007D07F1">
        <w:rPr>
          <w:i/>
        </w:rPr>
        <w:t>:</w:t>
      </w:r>
    </w:p>
    <w:p w14:paraId="176F6256" w14:textId="77777777" w:rsidR="007D07F1" w:rsidRPr="007D07F1" w:rsidRDefault="007D07F1" w:rsidP="007D07F1">
      <w:pPr>
        <w:pStyle w:val="ListParagraph"/>
        <w:numPr>
          <w:ilvl w:val="0"/>
          <w:numId w:val="44"/>
        </w:numPr>
        <w:overflowPunct w:val="0"/>
        <w:autoSpaceDE w:val="0"/>
        <w:autoSpaceDN w:val="0"/>
        <w:adjustRightInd w:val="0"/>
        <w:snapToGrid w:val="0"/>
        <w:spacing w:beforeLines="50" w:before="120" w:afterLines="50" w:after="120" w:line="360" w:lineRule="auto"/>
        <w:ind w:left="1120"/>
        <w:textAlignment w:val="baseline"/>
        <w:rPr>
          <w:bCs/>
          <w:i/>
          <w:iCs/>
          <w:lang w:eastAsia="zh-CN"/>
        </w:rPr>
      </w:pPr>
      <w:r w:rsidRPr="007D07F1">
        <w:rPr>
          <w:bCs/>
          <w:i/>
          <w:iCs/>
          <w:lang w:eastAsia="zh-CN"/>
        </w:rPr>
        <w:t>F</w:t>
      </w:r>
      <w:r w:rsidRPr="007D07F1">
        <w:rPr>
          <w:rFonts w:hint="eastAsia"/>
          <w:bCs/>
          <w:i/>
          <w:iCs/>
          <w:lang w:eastAsia="zh-CN"/>
        </w:rPr>
        <w:t>urther discuss</w:t>
      </w:r>
      <w:r w:rsidRPr="007D07F1">
        <w:rPr>
          <w:bCs/>
          <w:i/>
          <w:iCs/>
          <w:lang w:eastAsia="zh-CN"/>
        </w:rPr>
        <w:t>, aiming for down-selection,</w:t>
      </w:r>
      <w:r w:rsidRPr="007D07F1">
        <w:rPr>
          <w:rFonts w:hint="eastAsia"/>
          <w:bCs/>
          <w:i/>
          <w:iCs/>
          <w:lang w:eastAsia="zh-CN"/>
        </w:rPr>
        <w:t xml:space="preserve"> the group common DCI and UE-specific DCI for UL cancelation indication</w:t>
      </w:r>
      <w:r w:rsidRPr="007D07F1">
        <w:rPr>
          <w:bCs/>
          <w:i/>
          <w:iCs/>
          <w:lang w:eastAsia="zh-CN"/>
        </w:rPr>
        <w:t xml:space="preserve"> </w:t>
      </w:r>
    </w:p>
    <w:p w14:paraId="271C403B" w14:textId="77777777" w:rsidR="007D07F1" w:rsidRPr="007D07F1" w:rsidRDefault="007D07F1" w:rsidP="007D07F1">
      <w:pPr>
        <w:pStyle w:val="ListParagraph"/>
        <w:numPr>
          <w:ilvl w:val="1"/>
          <w:numId w:val="44"/>
        </w:numPr>
        <w:overflowPunct w:val="0"/>
        <w:autoSpaceDE w:val="0"/>
        <w:autoSpaceDN w:val="0"/>
        <w:adjustRightInd w:val="0"/>
        <w:snapToGrid w:val="0"/>
        <w:spacing w:beforeLines="50" w:before="120" w:afterLines="50" w:after="120" w:line="360" w:lineRule="auto"/>
        <w:ind w:left="1840"/>
        <w:textAlignment w:val="baseline"/>
        <w:rPr>
          <w:bCs/>
          <w:i/>
          <w:iCs/>
          <w:lang w:eastAsia="zh-CN"/>
        </w:rPr>
      </w:pPr>
      <w:r w:rsidRPr="007D07F1">
        <w:rPr>
          <w:rFonts w:hint="eastAsia"/>
          <w:bCs/>
          <w:i/>
          <w:iCs/>
          <w:lang w:eastAsia="zh-CN"/>
        </w:rPr>
        <w:t>For group common DCI</w:t>
      </w:r>
      <w:r w:rsidRPr="007D07F1">
        <w:rPr>
          <w:bCs/>
          <w:i/>
          <w:iCs/>
          <w:lang w:eastAsia="zh-CN"/>
        </w:rPr>
        <w:t xml:space="preserve"> (different from Rel-15 SFI)</w:t>
      </w:r>
    </w:p>
    <w:p w14:paraId="01D8D9C0" w14:textId="77777777" w:rsidR="007D07F1" w:rsidRPr="007D07F1" w:rsidRDefault="007D07F1" w:rsidP="007D07F1">
      <w:pPr>
        <w:pStyle w:val="ListParagraph"/>
        <w:numPr>
          <w:ilvl w:val="2"/>
          <w:numId w:val="44"/>
        </w:numPr>
        <w:overflowPunct w:val="0"/>
        <w:autoSpaceDE w:val="0"/>
        <w:autoSpaceDN w:val="0"/>
        <w:adjustRightInd w:val="0"/>
        <w:snapToGrid w:val="0"/>
        <w:spacing w:beforeLines="50" w:before="120" w:afterLines="50" w:after="120" w:line="360" w:lineRule="auto"/>
        <w:ind w:left="2560"/>
        <w:textAlignment w:val="baseline"/>
        <w:rPr>
          <w:bCs/>
          <w:i/>
          <w:iCs/>
          <w:lang w:eastAsia="zh-CN"/>
        </w:rPr>
      </w:pPr>
      <w:r w:rsidRPr="007D07F1">
        <w:rPr>
          <w:rFonts w:hint="eastAsia"/>
          <w:bCs/>
          <w:i/>
          <w:iCs/>
          <w:lang w:eastAsia="zh-CN"/>
        </w:rPr>
        <w:t xml:space="preserve">UE is configured to monitor a group common DCI which indicates the time/frequency region on which </w:t>
      </w:r>
      <w:r w:rsidRPr="007D07F1">
        <w:rPr>
          <w:bCs/>
          <w:i/>
          <w:iCs/>
          <w:lang w:eastAsia="zh-CN"/>
        </w:rPr>
        <w:t>the UL cancellation indication applies</w:t>
      </w:r>
    </w:p>
    <w:p w14:paraId="772644B5" w14:textId="77777777" w:rsidR="007D07F1" w:rsidRPr="007D07F1" w:rsidRDefault="007D07F1" w:rsidP="007D07F1">
      <w:pPr>
        <w:pStyle w:val="ListParagraph"/>
        <w:numPr>
          <w:ilvl w:val="1"/>
          <w:numId w:val="44"/>
        </w:numPr>
        <w:overflowPunct w:val="0"/>
        <w:autoSpaceDE w:val="0"/>
        <w:autoSpaceDN w:val="0"/>
        <w:adjustRightInd w:val="0"/>
        <w:snapToGrid w:val="0"/>
        <w:spacing w:beforeLines="50" w:before="120" w:afterLines="50" w:after="120" w:line="360" w:lineRule="auto"/>
        <w:ind w:left="1840"/>
        <w:textAlignment w:val="baseline"/>
        <w:rPr>
          <w:bCs/>
          <w:i/>
          <w:iCs/>
          <w:lang w:eastAsia="zh-CN"/>
        </w:rPr>
      </w:pPr>
      <w:r w:rsidRPr="007D07F1">
        <w:rPr>
          <w:rFonts w:hint="eastAsia"/>
          <w:bCs/>
          <w:i/>
          <w:iCs/>
          <w:lang w:eastAsia="zh-CN"/>
        </w:rPr>
        <w:t>For UE specific-DCI</w:t>
      </w:r>
    </w:p>
    <w:p w14:paraId="1226C92C" w14:textId="77777777" w:rsidR="007D07F1" w:rsidRPr="007D07F1" w:rsidRDefault="007D07F1" w:rsidP="007D07F1">
      <w:pPr>
        <w:pStyle w:val="ListParagraph"/>
        <w:numPr>
          <w:ilvl w:val="2"/>
          <w:numId w:val="44"/>
        </w:numPr>
        <w:overflowPunct w:val="0"/>
        <w:autoSpaceDE w:val="0"/>
        <w:autoSpaceDN w:val="0"/>
        <w:adjustRightInd w:val="0"/>
        <w:snapToGrid w:val="0"/>
        <w:spacing w:beforeLines="50" w:before="120" w:afterLines="50" w:after="120" w:line="360" w:lineRule="auto"/>
        <w:ind w:left="2560"/>
        <w:jc w:val="both"/>
        <w:textAlignment w:val="baseline"/>
        <w:rPr>
          <w:bCs/>
          <w:i/>
          <w:iCs/>
          <w:lang w:eastAsia="zh-CN"/>
        </w:rPr>
      </w:pPr>
      <w:r w:rsidRPr="007D07F1">
        <w:rPr>
          <w:bCs/>
          <w:i/>
          <w:iCs/>
          <w:lang w:eastAsia="zh-CN"/>
        </w:rPr>
        <w:t xml:space="preserve">When applicable, </w:t>
      </w:r>
      <w:r w:rsidRPr="007D07F1">
        <w:rPr>
          <w:rFonts w:hint="eastAsia"/>
          <w:bCs/>
          <w:i/>
          <w:iCs/>
          <w:lang w:eastAsia="zh-CN"/>
        </w:rPr>
        <w:t xml:space="preserve">UE is configured to monitor </w:t>
      </w:r>
      <w:r w:rsidRPr="007D07F1">
        <w:rPr>
          <w:bCs/>
          <w:i/>
          <w:iCs/>
          <w:lang w:eastAsia="zh-CN"/>
        </w:rPr>
        <w:t>a second</w:t>
      </w:r>
      <w:r w:rsidRPr="007D07F1">
        <w:rPr>
          <w:rFonts w:hint="eastAsia"/>
          <w:bCs/>
          <w:i/>
          <w:iCs/>
          <w:lang w:eastAsia="zh-CN"/>
        </w:rPr>
        <w:t xml:space="preserve"> UL grant</w:t>
      </w:r>
      <w:r w:rsidRPr="007D07F1">
        <w:rPr>
          <w:bCs/>
          <w:i/>
          <w:iCs/>
          <w:lang w:eastAsia="zh-CN"/>
        </w:rPr>
        <w:t xml:space="preserve"> for the same TB</w:t>
      </w:r>
      <w:r w:rsidRPr="007D07F1">
        <w:rPr>
          <w:rFonts w:hint="eastAsia"/>
          <w:bCs/>
          <w:i/>
          <w:iCs/>
          <w:lang w:eastAsia="zh-CN"/>
        </w:rPr>
        <w:t xml:space="preserve"> as an earlier PUSCH indicating </w:t>
      </w:r>
      <w:r w:rsidRPr="007D07F1">
        <w:rPr>
          <w:bCs/>
          <w:i/>
          <w:iCs/>
          <w:lang w:eastAsia="zh-CN"/>
        </w:rPr>
        <w:t>UL cancellation</w:t>
      </w:r>
      <w:r w:rsidRPr="007D07F1">
        <w:rPr>
          <w:rFonts w:hint="eastAsia"/>
          <w:bCs/>
          <w:i/>
          <w:iCs/>
          <w:lang w:eastAsia="zh-CN"/>
        </w:rPr>
        <w:t xml:space="preserve"> before the end </w:t>
      </w:r>
      <w:r w:rsidRPr="007D07F1">
        <w:rPr>
          <w:bCs/>
          <w:i/>
          <w:iCs/>
          <w:lang w:eastAsia="zh-CN"/>
        </w:rPr>
        <w:t>of the</w:t>
      </w:r>
      <w:r w:rsidRPr="007D07F1">
        <w:rPr>
          <w:rFonts w:hint="eastAsia"/>
          <w:bCs/>
          <w:i/>
          <w:iCs/>
          <w:lang w:eastAsia="zh-CN"/>
        </w:rPr>
        <w:t xml:space="preserve"> earlier PUSCH transmission. In this case, the UE </w:t>
      </w:r>
      <w:r w:rsidRPr="007D07F1">
        <w:rPr>
          <w:bCs/>
          <w:i/>
          <w:iCs/>
          <w:lang w:eastAsia="zh-CN"/>
        </w:rPr>
        <w:t>follows the UL cancellation indication</w:t>
      </w:r>
      <w:r w:rsidRPr="007D07F1">
        <w:rPr>
          <w:rFonts w:hint="eastAsia"/>
          <w:bCs/>
          <w:i/>
          <w:iCs/>
          <w:lang w:eastAsia="zh-CN"/>
        </w:rPr>
        <w:t xml:space="preserve">.   </w:t>
      </w:r>
    </w:p>
    <w:p w14:paraId="296EC148" w14:textId="77777777" w:rsidR="007D07F1" w:rsidRDefault="007D07F1" w:rsidP="00855F39">
      <w:pPr>
        <w:rPr>
          <w:rFonts w:eastAsia="MS Mincho"/>
          <w:lang w:val="en-US"/>
        </w:rPr>
      </w:pPr>
    </w:p>
    <w:p w14:paraId="422FF475" w14:textId="7113C2FC" w:rsidR="00855F39" w:rsidRDefault="004D5BF4" w:rsidP="00855F39">
      <w:pPr>
        <w:rPr>
          <w:rFonts w:eastAsia="MS Mincho"/>
          <w:lang w:val="en-US"/>
        </w:rPr>
      </w:pPr>
      <w:r>
        <w:rPr>
          <w:rFonts w:eastAsia="MS Mincho"/>
          <w:lang w:val="en-US"/>
        </w:rPr>
        <w:t xml:space="preserve">This contribution </w:t>
      </w:r>
      <w:r w:rsidR="00083CDE">
        <w:rPr>
          <w:rFonts w:eastAsia="MS Mincho"/>
          <w:lang w:val="en-US"/>
        </w:rPr>
        <w:t xml:space="preserve">discusses some </w:t>
      </w:r>
      <w:r w:rsidR="007D07F1">
        <w:rPr>
          <w:rFonts w:eastAsia="MS Mincho"/>
          <w:lang w:val="en-US"/>
        </w:rPr>
        <w:t xml:space="preserve">further considerations on inter-UE UL </w:t>
      </w:r>
      <w:r w:rsidR="005F31CF">
        <w:rPr>
          <w:rFonts w:eastAsia="MS Mincho"/>
          <w:lang w:val="en-US"/>
        </w:rPr>
        <w:t xml:space="preserve">transmission </w:t>
      </w:r>
      <w:r w:rsidR="007D07F1">
        <w:rPr>
          <w:rFonts w:eastAsia="MS Mincho"/>
          <w:lang w:val="en-US"/>
        </w:rPr>
        <w:t>prioritization and multiplexing</w:t>
      </w:r>
      <w:r w:rsidR="00AF500B">
        <w:rPr>
          <w:rFonts w:eastAsia="MS Mincho"/>
          <w:lang w:val="en-US"/>
        </w:rPr>
        <w:t>.</w:t>
      </w:r>
      <w:r w:rsidR="00855F39">
        <w:rPr>
          <w:rFonts w:eastAsia="MS Mincho"/>
          <w:lang w:val="en-US"/>
        </w:rPr>
        <w:t xml:space="preserve">  </w:t>
      </w: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26F2AD8D" w14:textId="4764B7FC" w:rsidR="005D6AC5" w:rsidRDefault="00210021" w:rsidP="005D6AC5">
      <w:pPr>
        <w:pStyle w:val="Heading2"/>
        <w:numPr>
          <w:ilvl w:val="1"/>
          <w:numId w:val="8"/>
        </w:numPr>
        <w:rPr>
          <w:lang w:val="en-US"/>
        </w:rPr>
      </w:pPr>
      <w:r>
        <w:rPr>
          <w:lang w:val="en-US"/>
        </w:rPr>
        <w:t>Grant Based Inter-UE Multiplexing</w:t>
      </w:r>
    </w:p>
    <w:p w14:paraId="449BBA3E" w14:textId="5D1D5738" w:rsidR="00280D65" w:rsidRDefault="00083CDE" w:rsidP="00CD5931">
      <w:pPr>
        <w:rPr>
          <w:rFonts w:eastAsia="MS Mincho"/>
          <w:lang w:val="en-US"/>
        </w:rPr>
      </w:pPr>
      <w:r>
        <w:rPr>
          <w:rFonts w:eastAsia="MS Mincho"/>
          <w:lang w:val="en-US"/>
        </w:rPr>
        <w:t xml:space="preserve">The </w:t>
      </w:r>
      <w:r w:rsidR="00CD5931">
        <w:rPr>
          <w:rFonts w:eastAsia="MS Mincho"/>
          <w:lang w:val="en-US"/>
        </w:rPr>
        <w:t>UL Cancellation Indicator (CI) carried by a PDCCH can be transmitted usin</w:t>
      </w:r>
      <w:r w:rsidR="00280D65">
        <w:rPr>
          <w:rFonts w:eastAsia="MS Mincho"/>
          <w:lang w:val="en-US"/>
        </w:rPr>
        <w:t>g a GC-DCI or UE specific DCI.</w:t>
      </w:r>
    </w:p>
    <w:p w14:paraId="6A095E20" w14:textId="5ED2BC96" w:rsidR="00CD5931" w:rsidRDefault="00CD5931" w:rsidP="00CD5931">
      <w:pPr>
        <w:rPr>
          <w:rFonts w:eastAsia="MS Mincho"/>
          <w:lang w:val="en-US"/>
        </w:rPr>
      </w:pPr>
      <w:r>
        <w:rPr>
          <w:rFonts w:eastAsia="MS Mincho"/>
          <w:lang w:val="en-US"/>
        </w:rPr>
        <w:t>In Rel-15</w:t>
      </w:r>
      <w:r w:rsidR="00280D65">
        <w:rPr>
          <w:rFonts w:eastAsia="MS Mincho"/>
          <w:lang w:val="en-US"/>
        </w:rPr>
        <w:t>,</w:t>
      </w:r>
      <w:r>
        <w:rPr>
          <w:rFonts w:eastAsia="MS Mincho"/>
          <w:lang w:val="en-US"/>
        </w:rPr>
        <w:t xml:space="preserve"> the rationale for using a GC-DCI to carry the DL PI is because a URLLC transmission is expected to occupy a large frequency bandwidth and hence it will affect multiple eMBB PDSCHs.  Therefore, it is more efficient to use GC-DCI to address multiple eMBB UEs.  However, it was noted that DL PI using GC-DCI suffers from “ghost pre-emption” [3] since the granularity that can be addressed by the DL PI is coarse and hence would lead to eMBB UEs being wrongly accused of being pre-empted, which may cause unnecessary retransmission.  </w:t>
      </w:r>
      <w:r w:rsidR="00EE7F4B">
        <w:rPr>
          <w:rFonts w:eastAsia="MS Mincho"/>
          <w:lang w:val="en-US"/>
        </w:rPr>
        <w:t>Similarly in the UL, if the UL CI uses GC-DCI to address multiple UEs, it can also suffer from “ghost cancellation” especially when the granularity is coarse</w:t>
      </w:r>
      <w:r>
        <w:rPr>
          <w:rFonts w:eastAsia="MS Mincho"/>
          <w:lang w:val="en-US"/>
        </w:rPr>
        <w:t>.</w:t>
      </w:r>
      <w:r w:rsidR="00EE7F4B">
        <w:rPr>
          <w:rFonts w:eastAsia="MS Mincho"/>
          <w:lang w:val="en-US"/>
        </w:rPr>
        <w:t xml:space="preserve">  For example in </w:t>
      </w:r>
      <w:r w:rsidR="00EE7F4B">
        <w:rPr>
          <w:rFonts w:eastAsia="MS Mincho"/>
          <w:lang w:val="en-US"/>
        </w:rPr>
        <w:fldChar w:fldCharType="begin"/>
      </w:r>
      <w:r w:rsidR="00EE7F4B">
        <w:rPr>
          <w:rFonts w:eastAsia="MS Mincho"/>
          <w:lang w:val="en-US"/>
        </w:rPr>
        <w:instrText xml:space="preserve"> REF _Ref494460583 \h </w:instrText>
      </w:r>
      <w:r w:rsidR="00EE7F4B">
        <w:rPr>
          <w:rFonts w:eastAsia="MS Mincho"/>
          <w:lang w:val="en-US"/>
        </w:rPr>
      </w:r>
      <w:r w:rsidR="00EE7F4B">
        <w:rPr>
          <w:rFonts w:eastAsia="MS Mincho"/>
          <w:lang w:val="en-US"/>
        </w:rPr>
        <w:fldChar w:fldCharType="separate"/>
      </w:r>
      <w:r w:rsidR="009336E4">
        <w:t xml:space="preserve">Figure </w:t>
      </w:r>
      <w:r w:rsidR="009336E4">
        <w:rPr>
          <w:noProof/>
        </w:rPr>
        <w:t>1</w:t>
      </w:r>
      <w:r w:rsidR="00EE7F4B">
        <w:rPr>
          <w:rFonts w:eastAsia="MS Mincho"/>
          <w:lang w:val="en-US"/>
        </w:rPr>
        <w:fldChar w:fldCharType="end"/>
      </w:r>
      <w:r w:rsidR="00EE7F4B">
        <w:rPr>
          <w:rFonts w:eastAsia="MS Mincho"/>
          <w:lang w:val="en-US"/>
        </w:rPr>
        <w:t>, UE1 and UE2 are scheduled for eMBB PUSCH transmissions but the gNB pre-empts some of UE1’s resource for a URLLC transmission for another UE.  The gNB then transmits a GC-DCI to signal the UL CI.  If the granularity of the UL CI is coarse, e.g. it indicates the entire UL BWP, it will also wrongly indicate to UE2 to cancel its PUSCH transmission even though the URLLC transmission affect</w:t>
      </w:r>
      <w:r w:rsidR="008978E1">
        <w:rPr>
          <w:rFonts w:eastAsia="MS Mincho"/>
          <w:lang w:val="en-US"/>
        </w:rPr>
        <w:t>s</w:t>
      </w:r>
      <w:r w:rsidR="00EE7F4B">
        <w:rPr>
          <w:rFonts w:eastAsia="MS Mincho"/>
          <w:lang w:val="en-US"/>
        </w:rPr>
        <w:t xml:space="preserve"> only UE1.  The consequence of “ghost cancellation” for UL CI is worse than that for DL PI since in the UL, the entire PUSCH may be dropped.</w:t>
      </w:r>
      <w:r w:rsidR="00280D65">
        <w:rPr>
          <w:rFonts w:eastAsia="MS Mincho"/>
          <w:lang w:val="en-US"/>
        </w:rPr>
        <w:t xml:space="preserve">  </w:t>
      </w:r>
    </w:p>
    <w:p w14:paraId="2D79F418" w14:textId="0862B8AF" w:rsidR="00EE7F4B" w:rsidRPr="009336E4" w:rsidRDefault="00EE7F4B" w:rsidP="00CD5931">
      <w:pPr>
        <w:rPr>
          <w:rFonts w:eastAsia="MS Mincho"/>
          <w:b/>
          <w:lang w:val="en-US"/>
        </w:rPr>
      </w:pPr>
      <w:r w:rsidRPr="009336E4">
        <w:rPr>
          <w:rFonts w:eastAsia="MS Mincho"/>
          <w:b/>
          <w:lang w:val="en-US"/>
        </w:rPr>
        <w:t xml:space="preserve">Observation 1: UL CI using GC-DCI may cause </w:t>
      </w:r>
      <w:r w:rsidR="008978E1">
        <w:rPr>
          <w:rFonts w:eastAsia="MS Mincho"/>
          <w:b/>
          <w:lang w:val="en-US"/>
        </w:rPr>
        <w:t xml:space="preserve">a </w:t>
      </w:r>
      <w:r w:rsidRPr="009336E4">
        <w:rPr>
          <w:rFonts w:eastAsia="MS Mincho"/>
          <w:b/>
          <w:lang w:val="en-US"/>
        </w:rPr>
        <w:t xml:space="preserve">PUSCH transmission </w:t>
      </w:r>
      <w:r w:rsidR="009336E4" w:rsidRPr="009336E4">
        <w:rPr>
          <w:rFonts w:eastAsia="MS Mincho"/>
          <w:b/>
          <w:lang w:val="en-US"/>
        </w:rPr>
        <w:t>that is not affect</w:t>
      </w:r>
      <w:r w:rsidR="008978E1">
        <w:rPr>
          <w:rFonts w:eastAsia="MS Mincho"/>
          <w:b/>
          <w:lang w:val="en-US"/>
        </w:rPr>
        <w:t>ed</w:t>
      </w:r>
      <w:r w:rsidR="009336E4" w:rsidRPr="009336E4">
        <w:rPr>
          <w:rFonts w:eastAsia="MS Mincho"/>
          <w:b/>
          <w:lang w:val="en-US"/>
        </w:rPr>
        <w:t xml:space="preserve"> by URLLC pre-emption </w:t>
      </w:r>
      <w:r w:rsidRPr="009336E4">
        <w:rPr>
          <w:rFonts w:eastAsia="MS Mincho"/>
          <w:b/>
          <w:lang w:val="en-US"/>
        </w:rPr>
        <w:t xml:space="preserve">to be wrongly dropped </w:t>
      </w:r>
      <w:r w:rsidR="009336E4" w:rsidRPr="009336E4">
        <w:rPr>
          <w:rFonts w:eastAsia="MS Mincho"/>
          <w:b/>
          <w:lang w:val="en-US"/>
        </w:rPr>
        <w:t xml:space="preserve">due to </w:t>
      </w:r>
      <w:r w:rsidR="008978E1">
        <w:rPr>
          <w:rFonts w:eastAsia="MS Mincho"/>
          <w:b/>
          <w:lang w:val="en-US"/>
        </w:rPr>
        <w:t xml:space="preserve">the </w:t>
      </w:r>
      <w:r w:rsidR="009336E4" w:rsidRPr="009336E4">
        <w:rPr>
          <w:rFonts w:eastAsia="MS Mincho"/>
          <w:b/>
          <w:lang w:val="en-US"/>
        </w:rPr>
        <w:t>granularity issue in indicating affected regions.</w:t>
      </w:r>
    </w:p>
    <w:p w14:paraId="466B8A72" w14:textId="77777777" w:rsidR="009336E4" w:rsidRDefault="009336E4" w:rsidP="00CD5931">
      <w:pPr>
        <w:rPr>
          <w:rFonts w:eastAsia="MS Mincho"/>
          <w:lang w:val="en-US"/>
        </w:rPr>
      </w:pPr>
    </w:p>
    <w:p w14:paraId="046CE58B" w14:textId="595E8F3D" w:rsidR="00CD5931" w:rsidRDefault="00280D65" w:rsidP="00CD5931">
      <w:pPr>
        <w:jc w:val="center"/>
        <w:rPr>
          <w:lang w:val="en-US"/>
        </w:rPr>
      </w:pPr>
      <w:r>
        <w:rPr>
          <w:noProof/>
          <w:lang w:eastAsia="en-GB"/>
        </w:rPr>
        <w:drawing>
          <wp:inline distT="0" distB="0" distL="0" distR="0" wp14:anchorId="595EDF46" wp14:editId="7E4287BE">
            <wp:extent cx="3169920" cy="2804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9920" cy="2804160"/>
                    </a:xfrm>
                    <a:prstGeom prst="rect">
                      <a:avLst/>
                    </a:prstGeom>
                    <a:noFill/>
                  </pic:spPr>
                </pic:pic>
              </a:graphicData>
            </a:graphic>
          </wp:inline>
        </w:drawing>
      </w:r>
    </w:p>
    <w:p w14:paraId="60AEB8E5" w14:textId="45BBE8A3" w:rsidR="00CD5931" w:rsidRDefault="00CD5931" w:rsidP="00CD5931">
      <w:pPr>
        <w:pStyle w:val="Caption"/>
        <w:jc w:val="center"/>
        <w:rPr>
          <w:lang w:val="en-US"/>
        </w:rPr>
      </w:pPr>
      <w:bookmarkStart w:id="2" w:name="_Ref494460583"/>
      <w:r>
        <w:t xml:space="preserve">Figure </w:t>
      </w:r>
      <w:r>
        <w:rPr>
          <w:noProof/>
        </w:rPr>
        <w:fldChar w:fldCharType="begin"/>
      </w:r>
      <w:r>
        <w:rPr>
          <w:noProof/>
        </w:rPr>
        <w:instrText xml:space="preserve"> SEQ Figure \* ARABIC </w:instrText>
      </w:r>
      <w:r>
        <w:rPr>
          <w:noProof/>
        </w:rPr>
        <w:fldChar w:fldCharType="separate"/>
      </w:r>
      <w:r w:rsidR="009336E4">
        <w:rPr>
          <w:noProof/>
        </w:rPr>
        <w:t>1</w:t>
      </w:r>
      <w:r>
        <w:rPr>
          <w:noProof/>
        </w:rPr>
        <w:fldChar w:fldCharType="end"/>
      </w:r>
      <w:bookmarkEnd w:id="2"/>
      <w:r>
        <w:t xml:space="preserve">: Ghost </w:t>
      </w:r>
      <w:r w:rsidR="00280D65">
        <w:t>cancellation</w:t>
      </w:r>
      <w:r>
        <w:t xml:space="preserve"> due to </w:t>
      </w:r>
      <w:r w:rsidR="00280D65">
        <w:t>UL C</w:t>
      </w:r>
      <w:r>
        <w:t xml:space="preserve">I exaggeration of </w:t>
      </w:r>
      <w:r w:rsidR="00EE7F4B">
        <w:t>URLLC transmission</w:t>
      </w:r>
    </w:p>
    <w:p w14:paraId="5B5332DC" w14:textId="037D397A" w:rsidR="009336E4" w:rsidRDefault="009336E4" w:rsidP="009336E4">
      <w:pPr>
        <w:rPr>
          <w:rFonts w:eastAsia="MS Mincho"/>
          <w:lang w:val="en-US"/>
        </w:rPr>
      </w:pPr>
      <w:r>
        <w:rPr>
          <w:rFonts w:eastAsia="MS Mincho"/>
          <w:lang w:val="en-US"/>
        </w:rPr>
        <w:t xml:space="preserve">Unlike </w:t>
      </w:r>
      <w:r w:rsidR="008978E1">
        <w:rPr>
          <w:rFonts w:eastAsia="MS Mincho"/>
          <w:lang w:val="en-US"/>
        </w:rPr>
        <w:t xml:space="preserve">in </w:t>
      </w:r>
      <w:r>
        <w:rPr>
          <w:rFonts w:eastAsia="MS Mincho"/>
          <w:lang w:val="en-US"/>
        </w:rPr>
        <w:t>the downlink, in the uplink it is far more effective to transmit a PUSCH using as few PRBs as possible in order to increase its PSD (Power Spectral Density) rather than spread the PUSCH transmission over many PRBs.  This has already been proven in Rel-15 eMTC under the sub-PRB feature.  Hence, it is unlikely that an uplink URLLC transmission would pre-empt multiple eMBB PUSCHs and the rationale to use a Group Common based indicator is no longer valid.  It is therefore more beneficial to use a UE specific UL CI which would not suffer from ghost cancellation.  This UL CI can act as an UL grant to reschedule the dropped eMBB PUSCH.</w:t>
      </w:r>
    </w:p>
    <w:p w14:paraId="21D2FB8A" w14:textId="1DB1F7A3" w:rsidR="009336E4" w:rsidRPr="004B09B0" w:rsidRDefault="009336E4" w:rsidP="009336E4">
      <w:pPr>
        <w:rPr>
          <w:rFonts w:eastAsia="MS Mincho"/>
          <w:b/>
          <w:lang w:val="en-US"/>
        </w:rPr>
      </w:pPr>
      <w:r w:rsidRPr="004B09B0">
        <w:rPr>
          <w:rFonts w:eastAsia="MS Mincho"/>
          <w:b/>
          <w:lang w:val="en-US"/>
        </w:rPr>
        <w:lastRenderedPageBreak/>
        <w:t xml:space="preserve">Observation </w:t>
      </w:r>
      <w:r>
        <w:rPr>
          <w:rFonts w:eastAsia="MS Mincho"/>
          <w:b/>
          <w:lang w:val="en-US"/>
        </w:rPr>
        <w:t>2</w:t>
      </w:r>
      <w:r w:rsidRPr="004B09B0">
        <w:rPr>
          <w:rFonts w:eastAsia="MS Mincho"/>
          <w:b/>
          <w:lang w:val="en-US"/>
        </w:rPr>
        <w:t>: Unlike in downlink URLLC (PDSCH), it is far more efficient and reliable to transmit the URLLC PUSCH using as few PRBs as possible to boost the PSD (Power Spectral Density) than to spread the PUSCH over numerous PRB</w:t>
      </w:r>
      <w:r w:rsidR="008978E1">
        <w:rPr>
          <w:rFonts w:eastAsia="MS Mincho"/>
          <w:b/>
          <w:lang w:val="en-US"/>
        </w:rPr>
        <w:t>s</w:t>
      </w:r>
      <w:r w:rsidRPr="004B09B0">
        <w:rPr>
          <w:rFonts w:eastAsia="MS Mincho"/>
          <w:b/>
          <w:lang w:val="en-US"/>
        </w:rPr>
        <w:t xml:space="preserve">. </w:t>
      </w:r>
    </w:p>
    <w:p w14:paraId="360899E7" w14:textId="76129CCA" w:rsidR="009336E4" w:rsidRPr="004B09B0" w:rsidRDefault="009336E4" w:rsidP="009336E4">
      <w:pPr>
        <w:rPr>
          <w:rFonts w:eastAsia="MS Mincho"/>
          <w:b/>
          <w:lang w:val="en-US"/>
        </w:rPr>
      </w:pPr>
      <w:r w:rsidRPr="004B09B0">
        <w:rPr>
          <w:rFonts w:eastAsia="MS Mincho"/>
          <w:b/>
          <w:lang w:val="en-US"/>
        </w:rPr>
        <w:t xml:space="preserve">Observation </w:t>
      </w:r>
      <w:r>
        <w:rPr>
          <w:rFonts w:eastAsia="MS Mincho"/>
          <w:b/>
          <w:lang w:val="en-US"/>
        </w:rPr>
        <w:t>3</w:t>
      </w:r>
      <w:r w:rsidRPr="004B09B0">
        <w:rPr>
          <w:rFonts w:eastAsia="MS Mincho"/>
          <w:b/>
          <w:lang w:val="en-US"/>
        </w:rPr>
        <w:t>: Unlike in downlink URLLC (PDSCH) which occupies a large frequency bandwidth, the uplink UR</w:t>
      </w:r>
      <w:r w:rsidR="00E667E1">
        <w:rPr>
          <w:rFonts w:eastAsia="MS Mincho"/>
          <w:b/>
          <w:lang w:val="en-US"/>
        </w:rPr>
        <w:t>L</w:t>
      </w:r>
      <w:r w:rsidRPr="004B09B0">
        <w:rPr>
          <w:rFonts w:eastAsia="MS Mincho"/>
          <w:b/>
          <w:lang w:val="en-US"/>
        </w:rPr>
        <w:t xml:space="preserve">LC (PUSCH) is likely to occupy </w:t>
      </w:r>
      <w:r>
        <w:rPr>
          <w:rFonts w:eastAsia="MS Mincho"/>
          <w:b/>
          <w:lang w:val="en-US"/>
        </w:rPr>
        <w:t xml:space="preserve">a </w:t>
      </w:r>
      <w:r w:rsidRPr="004B09B0">
        <w:rPr>
          <w:rFonts w:eastAsia="MS Mincho"/>
          <w:b/>
          <w:lang w:val="en-US"/>
        </w:rPr>
        <w:t xml:space="preserve">narrower frequency bandwidth and </w:t>
      </w:r>
      <w:r>
        <w:rPr>
          <w:rFonts w:eastAsia="MS Mincho"/>
          <w:b/>
          <w:lang w:val="en-US"/>
        </w:rPr>
        <w:t xml:space="preserve">is </w:t>
      </w:r>
      <w:r w:rsidRPr="004B09B0">
        <w:rPr>
          <w:rFonts w:eastAsia="MS Mincho"/>
          <w:b/>
          <w:lang w:val="en-US"/>
        </w:rPr>
        <w:t>therefore unlikely to pre-empt multiple eMBB PUSCH.</w:t>
      </w:r>
    </w:p>
    <w:p w14:paraId="0304F250" w14:textId="4315D650" w:rsidR="009336E4" w:rsidRPr="004B09B0" w:rsidRDefault="009336E4" w:rsidP="009336E4">
      <w:pPr>
        <w:rPr>
          <w:rFonts w:eastAsia="MS Mincho"/>
          <w:b/>
          <w:lang w:val="en-US"/>
        </w:rPr>
      </w:pPr>
      <w:r w:rsidRPr="004B09B0">
        <w:rPr>
          <w:rFonts w:eastAsia="MS Mincho"/>
          <w:b/>
          <w:lang w:val="en-US"/>
        </w:rPr>
        <w:t>Propo</w:t>
      </w:r>
      <w:r>
        <w:rPr>
          <w:rFonts w:eastAsia="MS Mincho"/>
          <w:b/>
          <w:lang w:val="en-US"/>
        </w:rPr>
        <w:t xml:space="preserve">sal 1: The UL </w:t>
      </w:r>
      <w:r w:rsidR="008978E1">
        <w:rPr>
          <w:rFonts w:eastAsia="MS Mincho"/>
          <w:b/>
          <w:lang w:val="en-US"/>
        </w:rPr>
        <w:t xml:space="preserve">CI </w:t>
      </w:r>
      <w:r>
        <w:rPr>
          <w:rFonts w:eastAsia="MS Mincho"/>
          <w:b/>
          <w:lang w:val="en-US"/>
        </w:rPr>
        <w:t>is UE specific and can be used as an UL grant to reschedule the dropped PUSCH.</w:t>
      </w:r>
    </w:p>
    <w:p w14:paraId="58081042" w14:textId="77777777" w:rsidR="00CD5931" w:rsidRDefault="00CD5931" w:rsidP="00CD5931">
      <w:pPr>
        <w:rPr>
          <w:rFonts w:eastAsia="MS Mincho"/>
          <w:b/>
          <w:lang w:val="en-US"/>
        </w:rPr>
      </w:pPr>
    </w:p>
    <w:p w14:paraId="2824A51C" w14:textId="77777777" w:rsidR="009336E4" w:rsidRDefault="009336E4" w:rsidP="009336E4">
      <w:pPr>
        <w:rPr>
          <w:rFonts w:eastAsia="MS Mincho"/>
          <w:lang w:val="en-US"/>
        </w:rPr>
      </w:pPr>
    </w:p>
    <w:p w14:paraId="20DEF0CD" w14:textId="77777777" w:rsidR="009336E4" w:rsidRDefault="009336E4" w:rsidP="009336E4">
      <w:pPr>
        <w:pStyle w:val="Heading2"/>
        <w:numPr>
          <w:ilvl w:val="1"/>
          <w:numId w:val="8"/>
        </w:numPr>
        <w:rPr>
          <w:lang w:val="en-US"/>
        </w:rPr>
      </w:pPr>
      <w:r>
        <w:rPr>
          <w:lang w:val="en-US"/>
        </w:rPr>
        <w:t>Grant Free Inter-UE Multiplexing</w:t>
      </w:r>
    </w:p>
    <w:p w14:paraId="23C8A2D8" w14:textId="25E36FBD" w:rsidR="009336E4" w:rsidRDefault="009336E4" w:rsidP="009336E4">
      <w:pPr>
        <w:rPr>
          <w:lang w:val="en-US"/>
        </w:rPr>
      </w:pPr>
      <w:r>
        <w:rPr>
          <w:lang w:val="en-US"/>
        </w:rPr>
        <w:t>The gNB may schedule an eMBB UE such that some of its PUSCH transmission occupies grant free resources (i.e. configured resources) that can be used for URLLC transmissions. Since the gNB does not dynamically schedule the URLLC UE in grant free resources, an UL CI to cancel an eMBB PUSCH that occupies some of the grant free resources is therefore not effective.</w:t>
      </w:r>
    </w:p>
    <w:p w14:paraId="631BFF0D" w14:textId="710F7383" w:rsidR="009336E4" w:rsidRDefault="009336E4" w:rsidP="009336E4">
      <w:pPr>
        <w:rPr>
          <w:lang w:val="en-US"/>
        </w:rPr>
      </w:pPr>
      <w:r>
        <w:rPr>
          <w:lang w:val="en-US"/>
        </w:rPr>
        <w:t>One method is to provide a Transmission Updated Indicator for the grant free resource, which provides updates on the grant free resources</w:t>
      </w:r>
      <w:r w:rsidR="00422EA5">
        <w:rPr>
          <w:lang w:val="en-US"/>
        </w:rPr>
        <w:t xml:space="preserve"> [2]</w:t>
      </w:r>
      <w:r>
        <w:rPr>
          <w:lang w:val="en-US"/>
        </w:rPr>
        <w:t xml:space="preserve">.  The Transmission Updated Indicator is used by the gNB to inform the URLLC UE using grant free resource whether some of the grant free resources have been scheduled to another (eMBB) UE.  The Transmission Updated Indicator can be group common and can reuse the bitmap used for DL PI (DCI Format 2_1) where a reference region is divided into either a 1×14 or 2×7 grid where each section in this grid indicates whether that region is occupied by another transmission.  The reference region for the grant free case can be equivalent to the area of the grant free resource.  If a region is indicated as being occupied, a URLLC UE intending to use that grant free resource can either avoid those occupied regions or increase its power if it overlaps with the occupied region.  An example is shown in </w:t>
      </w:r>
      <w:r>
        <w:rPr>
          <w:lang w:val="en-US"/>
        </w:rPr>
        <w:fldChar w:fldCharType="begin"/>
      </w:r>
      <w:r>
        <w:rPr>
          <w:lang w:val="en-US"/>
        </w:rPr>
        <w:instrText xml:space="preserve"> REF _Ref521317110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where the gNB configured grant free resources between frequency </w:t>
      </w:r>
      <w:r>
        <w:rPr>
          <w:i/>
          <w:lang w:val="en-US"/>
        </w:rPr>
        <w:t>f</w:t>
      </w:r>
      <w:r>
        <w:rPr>
          <w:vertAlign w:val="subscript"/>
          <w:lang w:val="en-US"/>
        </w:rPr>
        <w:t>1</w:t>
      </w:r>
      <w:r>
        <w:rPr>
          <w:lang w:val="en-US"/>
        </w:rPr>
        <w:t xml:space="preserve"> and </w:t>
      </w:r>
      <w:r>
        <w:rPr>
          <w:i/>
          <w:lang w:val="en-US"/>
        </w:rPr>
        <w:t>f</w:t>
      </w:r>
      <w:r>
        <w:rPr>
          <w:vertAlign w:val="subscript"/>
          <w:lang w:val="en-US"/>
        </w:rPr>
        <w:t>3</w:t>
      </w:r>
      <w:r>
        <w:rPr>
          <w:lang w:val="en-US"/>
        </w:rPr>
        <w:t xml:space="preserve"> for UE2 (URLLC UE) with a duration of 1 slot and a periodicity of 2 slots.  The gNB also configured a Transmission Updated Indicator with a 2×7 grid which is projected onto the time frequency resource of the grant free resource, i.e. the reference region is the resources occupied by the grant free resource.  This Transmission Updated Indicator has a periodicity of 2 slots.  At time </w:t>
      </w:r>
      <w:r w:rsidRPr="0004157F">
        <w:rPr>
          <w:i/>
          <w:lang w:val="en-US"/>
        </w:rPr>
        <w:t>t</w:t>
      </w:r>
      <w:r w:rsidRPr="0004157F">
        <w:rPr>
          <w:vertAlign w:val="subscript"/>
          <w:lang w:val="en-US"/>
        </w:rPr>
        <w:t>3</w:t>
      </w:r>
      <w:r>
        <w:rPr>
          <w:lang w:val="en-US"/>
        </w:rPr>
        <w:t xml:space="preserve">, the gNB schedules UE1 with a PUSCH for transmission in slot </w:t>
      </w:r>
      <w:r w:rsidRPr="0004157F">
        <w:rPr>
          <w:i/>
          <w:lang w:val="en-US"/>
        </w:rPr>
        <w:t>n</w:t>
      </w:r>
      <w:r>
        <w:rPr>
          <w:lang w:val="en-US"/>
        </w:rPr>
        <w:t xml:space="preserve">+3 which overlaps the grant free resource between time </w:t>
      </w:r>
      <w:r w:rsidRPr="0004157F">
        <w:rPr>
          <w:i/>
          <w:lang w:val="en-US"/>
        </w:rPr>
        <w:t>t</w:t>
      </w:r>
      <w:r w:rsidRPr="0004157F">
        <w:rPr>
          <w:vertAlign w:val="subscript"/>
          <w:lang w:val="en-US"/>
        </w:rPr>
        <w:t>7</w:t>
      </w:r>
      <w:r>
        <w:rPr>
          <w:lang w:val="en-US"/>
        </w:rPr>
        <w:t xml:space="preserve"> and </w:t>
      </w:r>
      <w:r w:rsidRPr="0004157F">
        <w:rPr>
          <w:i/>
          <w:lang w:val="en-US"/>
        </w:rPr>
        <w:t>t</w:t>
      </w:r>
      <w:r w:rsidRPr="0004157F">
        <w:rPr>
          <w:vertAlign w:val="subscript"/>
          <w:lang w:val="en-US"/>
        </w:rPr>
        <w:t>8</w:t>
      </w:r>
      <w:r>
        <w:rPr>
          <w:lang w:val="en-US"/>
        </w:rPr>
        <w:t xml:space="preserve">.  The Transmission Updated Indicator at time </w:t>
      </w:r>
      <w:r w:rsidRPr="0004157F">
        <w:rPr>
          <w:i/>
          <w:lang w:val="en-US"/>
        </w:rPr>
        <w:t>t</w:t>
      </w:r>
      <w:r w:rsidRPr="0004157F">
        <w:rPr>
          <w:vertAlign w:val="subscript"/>
          <w:lang w:val="en-US"/>
        </w:rPr>
        <w:t>5</w:t>
      </w:r>
      <w:r>
        <w:rPr>
          <w:lang w:val="en-US"/>
        </w:rPr>
        <w:t xml:space="preserve"> (labelled as Tx Update#2) would therefore indicate that the lower left 4 sections of the 2×7 grid, between frequency </w:t>
      </w:r>
      <w:r w:rsidRPr="0004157F">
        <w:rPr>
          <w:i/>
          <w:lang w:val="en-US"/>
        </w:rPr>
        <w:t>f</w:t>
      </w:r>
      <w:r w:rsidRPr="0004157F">
        <w:rPr>
          <w:vertAlign w:val="subscript"/>
          <w:lang w:val="en-US"/>
        </w:rPr>
        <w:t>1</w:t>
      </w:r>
      <w:r>
        <w:rPr>
          <w:lang w:val="en-US"/>
        </w:rPr>
        <w:t xml:space="preserve"> and </w:t>
      </w:r>
      <w:r w:rsidRPr="0004157F">
        <w:rPr>
          <w:i/>
          <w:lang w:val="en-US"/>
        </w:rPr>
        <w:t>f</w:t>
      </w:r>
      <w:r w:rsidRPr="0004157F">
        <w:rPr>
          <w:vertAlign w:val="subscript"/>
          <w:lang w:val="en-US"/>
        </w:rPr>
        <w:t>2</w:t>
      </w:r>
      <w:r>
        <w:rPr>
          <w:lang w:val="en-US"/>
        </w:rPr>
        <w:t xml:space="preserve"> and time </w:t>
      </w:r>
      <w:r w:rsidRPr="0004157F">
        <w:rPr>
          <w:i/>
          <w:lang w:val="en-US"/>
        </w:rPr>
        <w:t>t</w:t>
      </w:r>
      <w:r w:rsidRPr="0004157F">
        <w:rPr>
          <w:vertAlign w:val="subscript"/>
          <w:lang w:val="en-US"/>
        </w:rPr>
        <w:t>7</w:t>
      </w:r>
      <w:r>
        <w:rPr>
          <w:lang w:val="en-US"/>
        </w:rPr>
        <w:t xml:space="preserve"> to </w:t>
      </w:r>
      <w:r w:rsidRPr="0004157F">
        <w:rPr>
          <w:i/>
          <w:lang w:val="en-US"/>
        </w:rPr>
        <w:t>t</w:t>
      </w:r>
      <w:r w:rsidRPr="0004157F">
        <w:rPr>
          <w:vertAlign w:val="subscript"/>
          <w:lang w:val="en-US"/>
        </w:rPr>
        <w:t>9</w:t>
      </w:r>
      <w:r>
        <w:rPr>
          <w:lang w:val="en-US"/>
        </w:rPr>
        <w:t xml:space="preserve">, are occupied by another UE (i.e. UE1).  UE2, using the grant free resource in slot </w:t>
      </w:r>
      <w:r w:rsidRPr="00514ACC">
        <w:rPr>
          <w:i/>
          <w:lang w:val="en-US"/>
        </w:rPr>
        <w:t>n</w:t>
      </w:r>
      <w:r>
        <w:rPr>
          <w:lang w:val="en-US"/>
        </w:rPr>
        <w:t xml:space="preserve">+3, can therefore avoid those indicated regions, thereby avoiding interference from UE1.  </w:t>
      </w:r>
    </w:p>
    <w:p w14:paraId="4414739C" w14:textId="77777777" w:rsidR="009336E4" w:rsidRDefault="009336E4" w:rsidP="009336E4">
      <w:pPr>
        <w:rPr>
          <w:b/>
          <w:lang w:val="en-US"/>
        </w:rPr>
      </w:pPr>
    </w:p>
    <w:p w14:paraId="5FA3F200" w14:textId="77777777" w:rsidR="009336E4" w:rsidRDefault="009336E4" w:rsidP="009336E4">
      <w:pPr>
        <w:jc w:val="center"/>
        <w:rPr>
          <w:lang w:val="en-US"/>
        </w:rPr>
      </w:pPr>
      <w:r>
        <w:rPr>
          <w:noProof/>
          <w:lang w:eastAsia="en-GB"/>
        </w:rPr>
        <w:lastRenderedPageBreak/>
        <w:drawing>
          <wp:inline distT="0" distB="0" distL="0" distR="0" wp14:anchorId="18A775A7" wp14:editId="6B593E10">
            <wp:extent cx="5370830" cy="3462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0830" cy="3462655"/>
                    </a:xfrm>
                    <a:prstGeom prst="rect">
                      <a:avLst/>
                    </a:prstGeom>
                    <a:noFill/>
                  </pic:spPr>
                </pic:pic>
              </a:graphicData>
            </a:graphic>
          </wp:inline>
        </w:drawing>
      </w:r>
    </w:p>
    <w:p w14:paraId="2F87CB09" w14:textId="77777777" w:rsidR="009336E4" w:rsidRDefault="009336E4" w:rsidP="009336E4">
      <w:pPr>
        <w:pStyle w:val="Caption"/>
        <w:jc w:val="center"/>
        <w:rPr>
          <w:lang w:val="en-US"/>
        </w:rPr>
      </w:pPr>
      <w:bookmarkStart w:id="3" w:name="_Ref521317110"/>
      <w:r>
        <w:t xml:space="preserve">Figure </w:t>
      </w:r>
      <w:r>
        <w:fldChar w:fldCharType="begin"/>
      </w:r>
      <w:r>
        <w:rPr>
          <w:noProof/>
        </w:rPr>
        <w:instrText xml:space="preserve"> SEQ Figure \* ARABIC </w:instrText>
      </w:r>
      <w:r>
        <w:fldChar w:fldCharType="separate"/>
      </w:r>
      <w:r>
        <w:rPr>
          <w:noProof/>
        </w:rPr>
        <w:t>2</w:t>
      </w:r>
      <w:r>
        <w:fldChar w:fldCharType="end"/>
      </w:r>
      <w:bookmarkEnd w:id="3"/>
      <w:r>
        <w:t>: Transmission Updated Indicator</w:t>
      </w:r>
    </w:p>
    <w:p w14:paraId="0784D45E" w14:textId="37CB8850" w:rsidR="009336E4" w:rsidRDefault="009336E4" w:rsidP="009336E4">
      <w:pPr>
        <w:rPr>
          <w:b/>
          <w:lang w:val="en-US"/>
        </w:rPr>
      </w:pPr>
      <w:r>
        <w:rPr>
          <w:b/>
          <w:lang w:val="en-US"/>
        </w:rPr>
        <w:t>Proposal 2: Introduce a Transmission Updated Indicator for grant free resources that indicates the subset of the UL grant free resource</w:t>
      </w:r>
      <w:r w:rsidR="00DC493C">
        <w:rPr>
          <w:b/>
          <w:lang w:val="en-US"/>
        </w:rPr>
        <w:t>s</w:t>
      </w:r>
      <w:r>
        <w:rPr>
          <w:b/>
          <w:lang w:val="en-US"/>
        </w:rPr>
        <w:t xml:space="preserve"> that have been dynamically scheduled for another (eMBB PUSCH) transmission.</w:t>
      </w:r>
    </w:p>
    <w:p w14:paraId="0DD3C131" w14:textId="7728F0F6" w:rsidR="009336E4" w:rsidRDefault="009336E4" w:rsidP="009336E4">
      <w:pPr>
        <w:rPr>
          <w:b/>
          <w:lang w:val="en-US"/>
        </w:rPr>
      </w:pPr>
      <w:r>
        <w:rPr>
          <w:b/>
          <w:lang w:val="en-US"/>
        </w:rPr>
        <w:t>Proposal 3: The Transmission Updated Indicator can reuse the bitmap grid used for DL PI (DCI Format 2_1) where the reference region of the Transmission Updated Indicator is the area occupied by the grant free resources.</w:t>
      </w:r>
    </w:p>
    <w:p w14:paraId="0FA71A45" w14:textId="77777777" w:rsidR="009336E4" w:rsidRDefault="009336E4" w:rsidP="009336E4">
      <w:pPr>
        <w:rPr>
          <w:b/>
          <w:lang w:val="en-US"/>
        </w:rPr>
      </w:pPr>
    </w:p>
    <w:p w14:paraId="3FCA5B4E" w14:textId="525F462E" w:rsidR="009336E4" w:rsidRDefault="009336E4" w:rsidP="009336E4">
      <w:pPr>
        <w:pStyle w:val="Heading2"/>
        <w:numPr>
          <w:ilvl w:val="1"/>
          <w:numId w:val="8"/>
        </w:numPr>
        <w:rPr>
          <w:lang w:val="en-US"/>
        </w:rPr>
      </w:pPr>
      <w:r>
        <w:rPr>
          <w:lang w:val="en-US"/>
        </w:rPr>
        <w:t>Enhanced Power Control</w:t>
      </w:r>
    </w:p>
    <w:p w14:paraId="1CBC7DB1" w14:textId="23D3C1D1" w:rsidR="00293547" w:rsidRDefault="009336E4" w:rsidP="009336E4">
      <w:pPr>
        <w:rPr>
          <w:lang w:val="en-US"/>
        </w:rPr>
      </w:pPr>
      <w:r>
        <w:rPr>
          <w:lang w:val="en-US"/>
        </w:rPr>
        <w:t>In RAN1#96bis we conclude</w:t>
      </w:r>
      <w:r w:rsidR="00A00099">
        <w:rPr>
          <w:lang w:val="en-US"/>
        </w:rPr>
        <w:t>d</w:t>
      </w:r>
      <w:r>
        <w:rPr>
          <w:lang w:val="en-US"/>
        </w:rPr>
        <w:t xml:space="preserve"> the following:</w:t>
      </w:r>
    </w:p>
    <w:p w14:paraId="6F2A7087" w14:textId="77777777" w:rsidR="009336E4" w:rsidRPr="009336E4" w:rsidRDefault="009336E4" w:rsidP="009336E4">
      <w:pPr>
        <w:ind w:left="400"/>
        <w:rPr>
          <w:i/>
        </w:rPr>
      </w:pPr>
      <w:r w:rsidRPr="009336E4">
        <w:rPr>
          <w:b/>
          <w:i/>
          <w:u w:val="single"/>
        </w:rPr>
        <w:t>Conclusion</w:t>
      </w:r>
      <w:r w:rsidRPr="009336E4">
        <w:rPr>
          <w:i/>
        </w:rPr>
        <w:t>:</w:t>
      </w:r>
    </w:p>
    <w:p w14:paraId="4A2BE7A6" w14:textId="77777777" w:rsidR="009336E4" w:rsidRPr="009336E4" w:rsidRDefault="009336E4" w:rsidP="009336E4">
      <w:pPr>
        <w:pStyle w:val="ListParagraph"/>
        <w:numPr>
          <w:ilvl w:val="0"/>
          <w:numId w:val="43"/>
        </w:numPr>
        <w:overflowPunct w:val="0"/>
        <w:autoSpaceDE w:val="0"/>
        <w:autoSpaceDN w:val="0"/>
        <w:adjustRightInd w:val="0"/>
        <w:snapToGrid w:val="0"/>
        <w:spacing w:beforeLines="50" w:before="120" w:afterLines="50" w:after="120" w:line="360" w:lineRule="auto"/>
        <w:ind w:left="1220"/>
        <w:textAlignment w:val="baseline"/>
        <w:rPr>
          <w:bCs/>
          <w:i/>
          <w:iCs/>
          <w:lang w:eastAsia="zh-CN"/>
        </w:rPr>
      </w:pPr>
      <w:r w:rsidRPr="009336E4">
        <w:rPr>
          <w:rFonts w:hint="eastAsia"/>
          <w:bCs/>
          <w:i/>
          <w:iCs/>
          <w:lang w:eastAsia="zh-CN"/>
        </w:rPr>
        <w:t>Further discuss the following power control enhancements</w:t>
      </w:r>
    </w:p>
    <w:p w14:paraId="1162A7D8" w14:textId="77777777" w:rsidR="009336E4" w:rsidRPr="009336E4" w:rsidRDefault="009336E4" w:rsidP="009336E4">
      <w:pPr>
        <w:pStyle w:val="ListParagraph"/>
        <w:numPr>
          <w:ilvl w:val="1"/>
          <w:numId w:val="45"/>
        </w:numPr>
        <w:overflowPunct w:val="0"/>
        <w:autoSpaceDE w:val="0"/>
        <w:autoSpaceDN w:val="0"/>
        <w:adjustRightInd w:val="0"/>
        <w:snapToGrid w:val="0"/>
        <w:spacing w:beforeLines="50" w:before="120" w:afterLines="50" w:after="120" w:line="360" w:lineRule="auto"/>
        <w:ind w:left="1640"/>
        <w:textAlignment w:val="baseline"/>
        <w:rPr>
          <w:bCs/>
          <w:i/>
          <w:iCs/>
          <w:lang w:eastAsia="zh-CN"/>
        </w:rPr>
      </w:pPr>
      <w:r w:rsidRPr="009336E4">
        <w:rPr>
          <w:rFonts w:hint="eastAsia"/>
          <w:bCs/>
          <w:i/>
          <w:iCs/>
          <w:lang w:eastAsia="zh-CN"/>
        </w:rPr>
        <w:t>Increased TPC range</w:t>
      </w:r>
    </w:p>
    <w:p w14:paraId="10CDC976" w14:textId="77777777" w:rsidR="009336E4" w:rsidRPr="009336E4" w:rsidRDefault="009336E4" w:rsidP="009336E4">
      <w:pPr>
        <w:pStyle w:val="ListParagraph"/>
        <w:numPr>
          <w:ilvl w:val="2"/>
          <w:numId w:val="46"/>
        </w:numPr>
        <w:overflowPunct w:val="0"/>
        <w:autoSpaceDE w:val="0"/>
        <w:autoSpaceDN w:val="0"/>
        <w:adjustRightInd w:val="0"/>
        <w:snapToGrid w:val="0"/>
        <w:spacing w:beforeLines="50" w:before="120" w:afterLines="50" w:after="120" w:line="360" w:lineRule="auto"/>
        <w:ind w:left="2060"/>
        <w:textAlignment w:val="baseline"/>
        <w:rPr>
          <w:bCs/>
          <w:i/>
          <w:iCs/>
          <w:lang w:eastAsia="zh-CN"/>
        </w:rPr>
      </w:pPr>
      <w:r w:rsidRPr="009336E4">
        <w:rPr>
          <w:rFonts w:hint="eastAsia"/>
          <w:bCs/>
          <w:i/>
          <w:iCs/>
          <w:lang w:eastAsia="zh-CN"/>
        </w:rPr>
        <w:t xml:space="preserve">FFS details, e.g. supported value range, number of TPC bits, accumulated and/or absolute TPC, configurability of the TPC tables, applicability to SRS/PUCCH. </w:t>
      </w:r>
    </w:p>
    <w:p w14:paraId="41B66BFD" w14:textId="77777777" w:rsidR="009336E4" w:rsidRPr="009336E4" w:rsidRDefault="009336E4" w:rsidP="009336E4">
      <w:pPr>
        <w:pStyle w:val="ListParagraph"/>
        <w:numPr>
          <w:ilvl w:val="1"/>
          <w:numId w:val="47"/>
        </w:numPr>
        <w:overflowPunct w:val="0"/>
        <w:autoSpaceDE w:val="0"/>
        <w:autoSpaceDN w:val="0"/>
        <w:adjustRightInd w:val="0"/>
        <w:snapToGrid w:val="0"/>
        <w:spacing w:beforeLines="50" w:before="120" w:afterLines="50" w:after="120" w:line="360" w:lineRule="auto"/>
        <w:ind w:left="1640"/>
        <w:textAlignment w:val="baseline"/>
        <w:rPr>
          <w:bCs/>
          <w:i/>
          <w:iCs/>
          <w:lang w:eastAsia="zh-CN"/>
        </w:rPr>
      </w:pPr>
      <w:r w:rsidRPr="009336E4">
        <w:rPr>
          <w:bCs/>
          <w:i/>
          <w:iCs/>
          <w:lang w:eastAsia="zh-CN"/>
        </w:rPr>
        <w:t>I</w:t>
      </w:r>
      <w:r w:rsidRPr="009336E4">
        <w:rPr>
          <w:rFonts w:hint="eastAsia"/>
          <w:bCs/>
          <w:i/>
          <w:iCs/>
          <w:lang w:eastAsia="zh-CN"/>
        </w:rPr>
        <w:t xml:space="preserve">ndication of open-loop parameter sets based on scheduling DCI without using SRI </w:t>
      </w:r>
    </w:p>
    <w:p w14:paraId="0E59A4A0" w14:textId="77777777" w:rsidR="009336E4" w:rsidRPr="009336E4" w:rsidRDefault="009336E4" w:rsidP="009336E4">
      <w:pPr>
        <w:pStyle w:val="ListParagraph"/>
        <w:numPr>
          <w:ilvl w:val="1"/>
          <w:numId w:val="47"/>
        </w:numPr>
        <w:overflowPunct w:val="0"/>
        <w:autoSpaceDE w:val="0"/>
        <w:autoSpaceDN w:val="0"/>
        <w:adjustRightInd w:val="0"/>
        <w:snapToGrid w:val="0"/>
        <w:spacing w:beforeLines="50" w:before="120" w:afterLines="50" w:after="120" w:line="360" w:lineRule="auto"/>
        <w:ind w:left="1640"/>
        <w:textAlignment w:val="baseline"/>
        <w:rPr>
          <w:bCs/>
          <w:i/>
          <w:iCs/>
          <w:lang w:eastAsia="zh-CN"/>
        </w:rPr>
      </w:pPr>
      <w:r w:rsidRPr="009336E4">
        <w:rPr>
          <w:rFonts w:hint="eastAsia"/>
          <w:bCs/>
          <w:i/>
          <w:iCs/>
          <w:lang w:eastAsia="zh-CN"/>
        </w:rPr>
        <w:t>Indication of open-loop parameter sets based on GC-PDCCH</w:t>
      </w:r>
    </w:p>
    <w:p w14:paraId="01992404" w14:textId="16394952" w:rsidR="009336E4" w:rsidRDefault="009336E4" w:rsidP="009336E4">
      <w:pPr>
        <w:rPr>
          <w:lang w:val="en-US"/>
        </w:rPr>
      </w:pPr>
      <w:r>
        <w:rPr>
          <w:lang w:val="en-US"/>
        </w:rPr>
        <w:t xml:space="preserve">The enhanced power control </w:t>
      </w:r>
      <w:r w:rsidR="00A00099">
        <w:rPr>
          <w:lang w:val="en-US"/>
        </w:rPr>
        <w:t xml:space="preserve">schemes, </w:t>
      </w:r>
      <w:r>
        <w:rPr>
          <w:lang w:val="en-US"/>
        </w:rPr>
        <w:t xml:space="preserve">such as indicating a different open-loop power control </w:t>
      </w:r>
      <w:r w:rsidR="00A00099">
        <w:rPr>
          <w:lang w:val="en-US"/>
        </w:rPr>
        <w:t xml:space="preserve">parameter set </w:t>
      </w:r>
      <w:r>
        <w:rPr>
          <w:lang w:val="en-US"/>
        </w:rPr>
        <w:t>can be us</w:t>
      </w:r>
      <w:r w:rsidR="00422EA5">
        <w:rPr>
          <w:lang w:val="en-US"/>
        </w:rPr>
        <w:t xml:space="preserve">ed in addition with UL CI.  The indication of a different open-loop parameter </w:t>
      </w:r>
      <w:r w:rsidR="00EF4262">
        <w:rPr>
          <w:lang w:val="en-US"/>
        </w:rPr>
        <w:t xml:space="preserve">set </w:t>
      </w:r>
      <w:r w:rsidR="00422EA5">
        <w:rPr>
          <w:lang w:val="en-US"/>
        </w:rPr>
        <w:t>should be UE specific and can be in the UL grant.  It isn’t clear what the benefit is in indicating it using a GC-PDCCH.</w:t>
      </w:r>
    </w:p>
    <w:p w14:paraId="4AA84D58" w14:textId="1CC45037" w:rsidR="009336E4" w:rsidRPr="00422EA5" w:rsidRDefault="00422EA5" w:rsidP="009336E4">
      <w:pPr>
        <w:rPr>
          <w:rFonts w:eastAsia="MS Mincho"/>
          <w:b/>
          <w:lang w:val="en-US"/>
        </w:rPr>
      </w:pPr>
      <w:bookmarkStart w:id="4" w:name="_GoBack"/>
      <w:r w:rsidRPr="00422EA5">
        <w:rPr>
          <w:rFonts w:eastAsia="MS Mincho"/>
          <w:b/>
          <w:lang w:val="en-US"/>
        </w:rPr>
        <w:t>Proposal 4: Support the indication of separate open-loop power control parameter</w:t>
      </w:r>
      <w:r w:rsidR="00EF4262">
        <w:rPr>
          <w:rFonts w:eastAsia="MS Mincho"/>
          <w:b/>
          <w:lang w:val="en-US"/>
        </w:rPr>
        <w:t xml:space="preserve"> set</w:t>
      </w:r>
      <w:r w:rsidR="00A00099">
        <w:rPr>
          <w:rFonts w:eastAsia="MS Mincho"/>
          <w:b/>
          <w:lang w:val="en-US"/>
        </w:rPr>
        <w:t>s</w:t>
      </w:r>
      <w:r w:rsidRPr="00422EA5">
        <w:rPr>
          <w:rFonts w:eastAsia="MS Mincho"/>
          <w:b/>
          <w:lang w:val="en-US"/>
        </w:rPr>
        <w:t xml:space="preserve"> in the UL grant of the scheduling DCI</w:t>
      </w:r>
      <w:r>
        <w:rPr>
          <w:rFonts w:eastAsia="MS Mincho"/>
          <w:b/>
          <w:lang w:val="en-US"/>
        </w:rPr>
        <w:t>.</w:t>
      </w:r>
    </w:p>
    <w:bookmarkEnd w:id="4"/>
    <w:p w14:paraId="5CCA69A2" w14:textId="77777777" w:rsidR="00293547" w:rsidRDefault="00293547" w:rsidP="005D6AC5">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Conclusion</w:t>
      </w:r>
    </w:p>
    <w:p w14:paraId="10250698" w14:textId="1E2C3270" w:rsidR="0088003C" w:rsidRDefault="00855F39" w:rsidP="0088003C">
      <w:r>
        <w:t xml:space="preserve">In this contribution we discuss </w:t>
      </w:r>
      <w:r w:rsidR="00FA4AE2">
        <w:t xml:space="preserve">some aspects of </w:t>
      </w:r>
      <w:r w:rsidR="00422EA5">
        <w:t xml:space="preserve">inter-UE UL </w:t>
      </w:r>
      <w:r w:rsidR="005F31CF">
        <w:t xml:space="preserve">transmission </w:t>
      </w:r>
      <w:r w:rsidR="00422EA5">
        <w:t>prioritisation and multiplexing</w:t>
      </w:r>
      <w:r w:rsidR="00116008">
        <w:t>.  We observe the following</w:t>
      </w:r>
      <w:r>
        <w:t>:</w:t>
      </w:r>
    </w:p>
    <w:p w14:paraId="70D2F203" w14:textId="77777777" w:rsidR="00EF4262" w:rsidRPr="009336E4" w:rsidRDefault="00EF4262" w:rsidP="00EF4262">
      <w:pPr>
        <w:rPr>
          <w:rFonts w:eastAsia="MS Mincho"/>
          <w:b/>
          <w:lang w:val="en-US"/>
        </w:rPr>
      </w:pPr>
      <w:r w:rsidRPr="009336E4">
        <w:rPr>
          <w:rFonts w:eastAsia="MS Mincho"/>
          <w:b/>
          <w:lang w:val="en-US"/>
        </w:rPr>
        <w:t xml:space="preserve">Observation 1: UL CI using GC-DCI may cause </w:t>
      </w:r>
      <w:r>
        <w:rPr>
          <w:rFonts w:eastAsia="MS Mincho"/>
          <w:b/>
          <w:lang w:val="en-US"/>
        </w:rPr>
        <w:t xml:space="preserve">a </w:t>
      </w:r>
      <w:r w:rsidRPr="009336E4">
        <w:rPr>
          <w:rFonts w:eastAsia="MS Mincho"/>
          <w:b/>
          <w:lang w:val="en-US"/>
        </w:rPr>
        <w:t>PUSCH transmission that is not affect</w:t>
      </w:r>
      <w:r>
        <w:rPr>
          <w:rFonts w:eastAsia="MS Mincho"/>
          <w:b/>
          <w:lang w:val="en-US"/>
        </w:rPr>
        <w:t>ed</w:t>
      </w:r>
      <w:r w:rsidRPr="009336E4">
        <w:rPr>
          <w:rFonts w:eastAsia="MS Mincho"/>
          <w:b/>
          <w:lang w:val="en-US"/>
        </w:rPr>
        <w:t xml:space="preserve"> by URLLC pre-emption to be wrongly dropped due to </w:t>
      </w:r>
      <w:r>
        <w:rPr>
          <w:rFonts w:eastAsia="MS Mincho"/>
          <w:b/>
          <w:lang w:val="en-US"/>
        </w:rPr>
        <w:t xml:space="preserve">the </w:t>
      </w:r>
      <w:r w:rsidRPr="009336E4">
        <w:rPr>
          <w:rFonts w:eastAsia="MS Mincho"/>
          <w:b/>
          <w:lang w:val="en-US"/>
        </w:rPr>
        <w:t>granularity issue in indicating affected regions.</w:t>
      </w:r>
    </w:p>
    <w:p w14:paraId="5B34C828" w14:textId="77777777" w:rsidR="00EF4262" w:rsidRPr="004B09B0" w:rsidRDefault="00EF4262" w:rsidP="00EF4262">
      <w:pPr>
        <w:rPr>
          <w:rFonts w:eastAsia="MS Mincho"/>
          <w:b/>
          <w:lang w:val="en-US"/>
        </w:rPr>
      </w:pPr>
      <w:r w:rsidRPr="004B09B0">
        <w:rPr>
          <w:rFonts w:eastAsia="MS Mincho"/>
          <w:b/>
          <w:lang w:val="en-US"/>
        </w:rPr>
        <w:t xml:space="preserve">Observation </w:t>
      </w:r>
      <w:r>
        <w:rPr>
          <w:rFonts w:eastAsia="MS Mincho"/>
          <w:b/>
          <w:lang w:val="en-US"/>
        </w:rPr>
        <w:t>2</w:t>
      </w:r>
      <w:r w:rsidRPr="004B09B0">
        <w:rPr>
          <w:rFonts w:eastAsia="MS Mincho"/>
          <w:b/>
          <w:lang w:val="en-US"/>
        </w:rPr>
        <w:t>: Unlike in downlink URLLC (PDSCH), it is far more efficient and reliable to transmit the URLLC PUSCH using as few PRBs as possible to boost the PSD (Power Spectral Density) than to spread the PUSCH over numerous PRB</w:t>
      </w:r>
      <w:r>
        <w:rPr>
          <w:rFonts w:eastAsia="MS Mincho"/>
          <w:b/>
          <w:lang w:val="en-US"/>
        </w:rPr>
        <w:t>s</w:t>
      </w:r>
      <w:r w:rsidRPr="004B09B0">
        <w:rPr>
          <w:rFonts w:eastAsia="MS Mincho"/>
          <w:b/>
          <w:lang w:val="en-US"/>
        </w:rPr>
        <w:t xml:space="preserve">. </w:t>
      </w:r>
    </w:p>
    <w:p w14:paraId="12EFA025" w14:textId="77777777" w:rsidR="00EF4262" w:rsidRPr="004B09B0" w:rsidRDefault="00EF4262" w:rsidP="00EF4262">
      <w:pPr>
        <w:rPr>
          <w:rFonts w:eastAsia="MS Mincho"/>
          <w:b/>
          <w:lang w:val="en-US"/>
        </w:rPr>
      </w:pPr>
      <w:r w:rsidRPr="004B09B0">
        <w:rPr>
          <w:rFonts w:eastAsia="MS Mincho"/>
          <w:b/>
          <w:lang w:val="en-US"/>
        </w:rPr>
        <w:t xml:space="preserve">Observation </w:t>
      </w:r>
      <w:r>
        <w:rPr>
          <w:rFonts w:eastAsia="MS Mincho"/>
          <w:b/>
          <w:lang w:val="en-US"/>
        </w:rPr>
        <w:t>3</w:t>
      </w:r>
      <w:r w:rsidRPr="004B09B0">
        <w:rPr>
          <w:rFonts w:eastAsia="MS Mincho"/>
          <w:b/>
          <w:lang w:val="en-US"/>
        </w:rPr>
        <w:t>: Unlike in downlink URLLC (PDSCH) which occupies a large frequency bandwidth, the uplink UR</w:t>
      </w:r>
      <w:r>
        <w:rPr>
          <w:rFonts w:eastAsia="MS Mincho"/>
          <w:b/>
          <w:lang w:val="en-US"/>
        </w:rPr>
        <w:t>L</w:t>
      </w:r>
      <w:r w:rsidRPr="004B09B0">
        <w:rPr>
          <w:rFonts w:eastAsia="MS Mincho"/>
          <w:b/>
          <w:lang w:val="en-US"/>
        </w:rPr>
        <w:t xml:space="preserve">LC (PUSCH) is likely to occupy </w:t>
      </w:r>
      <w:r>
        <w:rPr>
          <w:rFonts w:eastAsia="MS Mincho"/>
          <w:b/>
          <w:lang w:val="en-US"/>
        </w:rPr>
        <w:t xml:space="preserve">a </w:t>
      </w:r>
      <w:r w:rsidRPr="004B09B0">
        <w:rPr>
          <w:rFonts w:eastAsia="MS Mincho"/>
          <w:b/>
          <w:lang w:val="en-US"/>
        </w:rPr>
        <w:t xml:space="preserve">narrower frequency bandwidth and </w:t>
      </w:r>
      <w:r>
        <w:rPr>
          <w:rFonts w:eastAsia="MS Mincho"/>
          <w:b/>
          <w:lang w:val="en-US"/>
        </w:rPr>
        <w:t xml:space="preserve">is </w:t>
      </w:r>
      <w:r w:rsidRPr="004B09B0">
        <w:rPr>
          <w:rFonts w:eastAsia="MS Mincho"/>
          <w:b/>
          <w:lang w:val="en-US"/>
        </w:rPr>
        <w:t>therefore unlikely to pre-empt multiple eMBB PUSCH.</w:t>
      </w:r>
    </w:p>
    <w:p w14:paraId="0654A187" w14:textId="77777777" w:rsidR="009D7CB0" w:rsidRDefault="009D7CB0" w:rsidP="00855F39"/>
    <w:p w14:paraId="2187BC09" w14:textId="77777777" w:rsidR="00160371" w:rsidRDefault="00160371" w:rsidP="00855F39">
      <w:r>
        <w:t>We therefore propose the following:</w:t>
      </w:r>
    </w:p>
    <w:p w14:paraId="4C26DC1B" w14:textId="77777777" w:rsidR="00EF4262" w:rsidRPr="004B09B0" w:rsidRDefault="00EF4262" w:rsidP="00EF4262">
      <w:pPr>
        <w:rPr>
          <w:rFonts w:eastAsia="MS Mincho"/>
          <w:b/>
          <w:lang w:val="en-US"/>
        </w:rPr>
      </w:pPr>
      <w:r w:rsidRPr="004B09B0">
        <w:rPr>
          <w:rFonts w:eastAsia="MS Mincho"/>
          <w:b/>
          <w:lang w:val="en-US"/>
        </w:rPr>
        <w:t>Propo</w:t>
      </w:r>
      <w:r>
        <w:rPr>
          <w:rFonts w:eastAsia="MS Mincho"/>
          <w:b/>
          <w:lang w:val="en-US"/>
        </w:rPr>
        <w:t>sal 1: The UL CI is UE specific and can be used as an UL grant to reschedule the dropped PUSCH.</w:t>
      </w:r>
    </w:p>
    <w:p w14:paraId="104C614A" w14:textId="77777777" w:rsidR="00EF4262" w:rsidRDefault="00EF4262" w:rsidP="00EF4262">
      <w:pPr>
        <w:rPr>
          <w:b/>
          <w:lang w:val="en-US"/>
        </w:rPr>
      </w:pPr>
      <w:r>
        <w:rPr>
          <w:b/>
          <w:lang w:val="en-US"/>
        </w:rPr>
        <w:t>Proposal 2: Introduce a Transmission Updated Indicator for grant free resources that indicates the subset of the UL grant free resources that have been dynamically scheduled for another (eMBB PUSCH) transmission.</w:t>
      </w:r>
    </w:p>
    <w:p w14:paraId="5D3D0303" w14:textId="77777777" w:rsidR="00EF4262" w:rsidRDefault="00EF4262" w:rsidP="00EF4262">
      <w:pPr>
        <w:rPr>
          <w:b/>
          <w:lang w:val="en-US"/>
        </w:rPr>
      </w:pPr>
      <w:r>
        <w:rPr>
          <w:b/>
          <w:lang w:val="en-US"/>
        </w:rPr>
        <w:t>Proposal 3: The Transmission Updated Indicator can reuse the bitmap grid used for DL PI (DCI Format 2_1) where the reference region of the Transmission Updated Indicator is the area occupied by the grant free resources.</w:t>
      </w:r>
    </w:p>
    <w:p w14:paraId="66DE4273" w14:textId="77777777" w:rsidR="00EF4262" w:rsidRPr="00422EA5" w:rsidRDefault="00EF4262" w:rsidP="00EF4262">
      <w:pPr>
        <w:rPr>
          <w:rFonts w:eastAsia="MS Mincho"/>
          <w:b/>
          <w:lang w:val="en-US"/>
        </w:rPr>
      </w:pPr>
      <w:r w:rsidRPr="00422EA5">
        <w:rPr>
          <w:rFonts w:eastAsia="MS Mincho"/>
          <w:b/>
          <w:lang w:val="en-US"/>
        </w:rPr>
        <w:t>Proposal 4: Support the indication of separate open-loop power control parameter</w:t>
      </w:r>
      <w:r>
        <w:rPr>
          <w:rFonts w:eastAsia="MS Mincho"/>
          <w:b/>
          <w:lang w:val="en-US"/>
        </w:rPr>
        <w:t xml:space="preserve"> sets</w:t>
      </w:r>
      <w:r w:rsidRPr="00422EA5">
        <w:rPr>
          <w:rFonts w:eastAsia="MS Mincho"/>
          <w:b/>
          <w:lang w:val="en-US"/>
        </w:rPr>
        <w:t xml:space="preserve"> in the UL grant of the scheduling DCI</w:t>
      </w:r>
      <w:r>
        <w:rPr>
          <w:rFonts w:eastAsia="MS Mincho"/>
          <w:b/>
          <w:lang w:val="en-US"/>
        </w:rPr>
        <w:t>.</w:t>
      </w:r>
    </w:p>
    <w:p w14:paraId="2C2098D3" w14:textId="77777777" w:rsidR="00A91C99" w:rsidRPr="001D7294" w:rsidRDefault="00A91C99"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36999A93" w14:textId="1D9F45DE" w:rsidR="00CD5931" w:rsidRDefault="00CD5931" w:rsidP="00CD5931">
      <w:r>
        <w:t xml:space="preserve">[1] </w:t>
      </w:r>
      <w:r w:rsidRPr="00694A05">
        <w:t>R1-1718657</w:t>
      </w:r>
      <w:r>
        <w:t>, “</w:t>
      </w:r>
      <w:r w:rsidRPr="00694A05">
        <w:t>Myths and remaining issues in Pre-emption Indicator</w:t>
      </w:r>
      <w:r>
        <w:t>,” Sony, RAN1#90bis</w:t>
      </w:r>
    </w:p>
    <w:p w14:paraId="1DEFAA84" w14:textId="4966CCD9" w:rsidR="007271F6" w:rsidRDefault="00422EA5" w:rsidP="00CD5931">
      <w:r>
        <w:t xml:space="preserve">[2] </w:t>
      </w:r>
      <w:r w:rsidRPr="00422EA5">
        <w:t>R1-1904238</w:t>
      </w:r>
      <w:r>
        <w:t>, “</w:t>
      </w:r>
      <w:r w:rsidRPr="00422EA5">
        <w:t>Inter-UE Uplink Tx Prioritisation &amp; Multiplexing</w:t>
      </w:r>
      <w:r>
        <w:t>,” Sony, RAN1#96bis</w:t>
      </w:r>
    </w:p>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D51026" w16cid:durableId="2071B1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1DDDB" w14:textId="77777777" w:rsidR="00F040DD" w:rsidRDefault="00F040DD">
      <w:r>
        <w:separator/>
      </w:r>
    </w:p>
  </w:endnote>
  <w:endnote w:type="continuationSeparator" w:id="0">
    <w:p w14:paraId="5970F266" w14:textId="77777777" w:rsidR="00F040DD" w:rsidRDefault="00F0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21065" w14:textId="77777777" w:rsidR="00F040DD" w:rsidRDefault="00F040DD">
      <w:r>
        <w:separator/>
      </w:r>
    </w:p>
  </w:footnote>
  <w:footnote w:type="continuationSeparator" w:id="0">
    <w:p w14:paraId="673CCB66" w14:textId="77777777" w:rsidR="00F040DD" w:rsidRDefault="00F040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2"/>
  </w:num>
  <w:num w:numId="3">
    <w:abstractNumId w:val="25"/>
  </w:num>
  <w:num w:numId="4">
    <w:abstractNumId w:val="11"/>
  </w:num>
  <w:num w:numId="5">
    <w:abstractNumId w:val="30"/>
  </w:num>
  <w:num w:numId="6">
    <w:abstractNumId w:val="13"/>
  </w:num>
  <w:num w:numId="7">
    <w:abstractNumId w:val="4"/>
  </w:num>
  <w:num w:numId="8">
    <w:abstractNumId w:val="0"/>
  </w:num>
  <w:num w:numId="9">
    <w:abstractNumId w:val="23"/>
  </w:num>
  <w:num w:numId="10">
    <w:abstractNumId w:val="19"/>
  </w:num>
  <w:num w:numId="11">
    <w:abstractNumId w:val="8"/>
  </w:num>
  <w:num w:numId="12">
    <w:abstractNumId w:val="42"/>
  </w:num>
  <w:num w:numId="13">
    <w:abstractNumId w:val="28"/>
  </w:num>
  <w:num w:numId="14">
    <w:abstractNumId w:val="16"/>
  </w:num>
  <w:num w:numId="15">
    <w:abstractNumId w:val="41"/>
  </w:num>
  <w:num w:numId="16">
    <w:abstractNumId w:val="33"/>
  </w:num>
  <w:num w:numId="17">
    <w:abstractNumId w:val="43"/>
  </w:num>
  <w:num w:numId="18">
    <w:abstractNumId w:val="38"/>
  </w:num>
  <w:num w:numId="19">
    <w:abstractNumId w:val="24"/>
  </w:num>
  <w:num w:numId="20">
    <w:abstractNumId w:val="5"/>
  </w:num>
  <w:num w:numId="21">
    <w:abstractNumId w:val="20"/>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31"/>
  </w:num>
  <w:num w:numId="26">
    <w:abstractNumId w:val="21"/>
  </w:num>
  <w:num w:numId="27">
    <w:abstractNumId w:val="29"/>
  </w:num>
  <w:num w:numId="28">
    <w:abstractNumId w:val="34"/>
  </w:num>
  <w:num w:numId="29">
    <w:abstractNumId w:val="14"/>
  </w:num>
  <w:num w:numId="30">
    <w:abstractNumId w:val="10"/>
  </w:num>
  <w:num w:numId="31">
    <w:abstractNumId w:val="9"/>
  </w:num>
  <w:num w:numId="32">
    <w:abstractNumId w:val="9"/>
  </w:num>
  <w:num w:numId="33">
    <w:abstractNumId w:val="26"/>
  </w:num>
  <w:num w:numId="34">
    <w:abstractNumId w:val="2"/>
  </w:num>
  <w:num w:numId="35">
    <w:abstractNumId w:val="9"/>
  </w:num>
  <w:num w:numId="36">
    <w:abstractNumId w:val="27"/>
  </w:num>
  <w:num w:numId="37">
    <w:abstractNumId w:val="12"/>
  </w:num>
  <w:num w:numId="38">
    <w:abstractNumId w:val="37"/>
  </w:num>
  <w:num w:numId="39">
    <w:abstractNumId w:val="6"/>
  </w:num>
  <w:num w:numId="40">
    <w:abstractNumId w:val="3"/>
  </w:num>
  <w:num w:numId="41">
    <w:abstractNumId w:val="39"/>
  </w:num>
  <w:num w:numId="42">
    <w:abstractNumId w:val="18"/>
  </w:num>
  <w:num w:numId="43">
    <w:abstractNumId w:val="22"/>
  </w:num>
  <w:num w:numId="44">
    <w:abstractNumId w:val="17"/>
  </w:num>
  <w:num w:numId="45">
    <w:abstractNumId w:val="36"/>
  </w:num>
  <w:num w:numId="46">
    <w:abstractNumId w:val="35"/>
  </w:num>
  <w:num w:numId="4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0822"/>
    <w:rsid w:val="00003E23"/>
    <w:rsid w:val="000102FF"/>
    <w:rsid w:val="0001157C"/>
    <w:rsid w:val="00031AA4"/>
    <w:rsid w:val="0004157F"/>
    <w:rsid w:val="00046177"/>
    <w:rsid w:val="00062DA9"/>
    <w:rsid w:val="00083CDE"/>
    <w:rsid w:val="000C2901"/>
    <w:rsid w:val="000D13A8"/>
    <w:rsid w:val="000D7B2E"/>
    <w:rsid w:val="000F183A"/>
    <w:rsid w:val="000F2691"/>
    <w:rsid w:val="00106793"/>
    <w:rsid w:val="00116008"/>
    <w:rsid w:val="001318A8"/>
    <w:rsid w:val="0014010F"/>
    <w:rsid w:val="00144192"/>
    <w:rsid w:val="00160371"/>
    <w:rsid w:val="001641D6"/>
    <w:rsid w:val="00173B87"/>
    <w:rsid w:val="001C26EE"/>
    <w:rsid w:val="001C3030"/>
    <w:rsid w:val="001D7294"/>
    <w:rsid w:val="001F6D3C"/>
    <w:rsid w:val="00210021"/>
    <w:rsid w:val="002136ED"/>
    <w:rsid w:val="0021781D"/>
    <w:rsid w:val="0022222B"/>
    <w:rsid w:val="0023091B"/>
    <w:rsid w:val="00233CA5"/>
    <w:rsid w:val="00252C04"/>
    <w:rsid w:val="00270216"/>
    <w:rsid w:val="00275802"/>
    <w:rsid w:val="002761EC"/>
    <w:rsid w:val="00280D65"/>
    <w:rsid w:val="002850B5"/>
    <w:rsid w:val="00293547"/>
    <w:rsid w:val="002A006C"/>
    <w:rsid w:val="002B1D8E"/>
    <w:rsid w:val="002C75C7"/>
    <w:rsid w:val="002D14A6"/>
    <w:rsid w:val="002D4F72"/>
    <w:rsid w:val="002E0D51"/>
    <w:rsid w:val="002F27E9"/>
    <w:rsid w:val="002F3FE4"/>
    <w:rsid w:val="002F7659"/>
    <w:rsid w:val="003162A9"/>
    <w:rsid w:val="00325336"/>
    <w:rsid w:val="00327383"/>
    <w:rsid w:val="003539C7"/>
    <w:rsid w:val="00356FC8"/>
    <w:rsid w:val="00375C50"/>
    <w:rsid w:val="003A004E"/>
    <w:rsid w:val="003A1646"/>
    <w:rsid w:val="003A7797"/>
    <w:rsid w:val="003C646A"/>
    <w:rsid w:val="003D3533"/>
    <w:rsid w:val="003D4C90"/>
    <w:rsid w:val="004012D6"/>
    <w:rsid w:val="0041482F"/>
    <w:rsid w:val="00421D52"/>
    <w:rsid w:val="00422EA5"/>
    <w:rsid w:val="00427D9F"/>
    <w:rsid w:val="00453952"/>
    <w:rsid w:val="00464932"/>
    <w:rsid w:val="0048341C"/>
    <w:rsid w:val="00484D75"/>
    <w:rsid w:val="0048511E"/>
    <w:rsid w:val="00492A87"/>
    <w:rsid w:val="004A650D"/>
    <w:rsid w:val="004B158E"/>
    <w:rsid w:val="004C25F4"/>
    <w:rsid w:val="004D1803"/>
    <w:rsid w:val="004D1FC7"/>
    <w:rsid w:val="004D5BF4"/>
    <w:rsid w:val="004E0AC7"/>
    <w:rsid w:val="004F6519"/>
    <w:rsid w:val="00502AA5"/>
    <w:rsid w:val="00503DA1"/>
    <w:rsid w:val="00514ACC"/>
    <w:rsid w:val="005317FD"/>
    <w:rsid w:val="00544758"/>
    <w:rsid w:val="0055725A"/>
    <w:rsid w:val="005654F5"/>
    <w:rsid w:val="005776BC"/>
    <w:rsid w:val="00577F8A"/>
    <w:rsid w:val="005873A3"/>
    <w:rsid w:val="005A3297"/>
    <w:rsid w:val="005C19D9"/>
    <w:rsid w:val="005C70A9"/>
    <w:rsid w:val="005C7515"/>
    <w:rsid w:val="005D6AC5"/>
    <w:rsid w:val="005D729E"/>
    <w:rsid w:val="005F31CF"/>
    <w:rsid w:val="005F5642"/>
    <w:rsid w:val="00643995"/>
    <w:rsid w:val="00643E1D"/>
    <w:rsid w:val="006569B2"/>
    <w:rsid w:val="00673015"/>
    <w:rsid w:val="00694ABB"/>
    <w:rsid w:val="006B39D4"/>
    <w:rsid w:val="006D0EAA"/>
    <w:rsid w:val="006D21BF"/>
    <w:rsid w:val="006D62EB"/>
    <w:rsid w:val="006F502D"/>
    <w:rsid w:val="007172AC"/>
    <w:rsid w:val="007271F6"/>
    <w:rsid w:val="0073373C"/>
    <w:rsid w:val="00743918"/>
    <w:rsid w:val="00773AC2"/>
    <w:rsid w:val="00782D42"/>
    <w:rsid w:val="00783E56"/>
    <w:rsid w:val="007A008A"/>
    <w:rsid w:val="007A086D"/>
    <w:rsid w:val="007A3FB0"/>
    <w:rsid w:val="007B2533"/>
    <w:rsid w:val="007D07F1"/>
    <w:rsid w:val="007D3E92"/>
    <w:rsid w:val="007D59B0"/>
    <w:rsid w:val="007F518E"/>
    <w:rsid w:val="00802E59"/>
    <w:rsid w:val="008413E1"/>
    <w:rsid w:val="00842D44"/>
    <w:rsid w:val="00847A26"/>
    <w:rsid w:val="00855F39"/>
    <w:rsid w:val="0088003C"/>
    <w:rsid w:val="00881651"/>
    <w:rsid w:val="008978E1"/>
    <w:rsid w:val="008A3145"/>
    <w:rsid w:val="008B589E"/>
    <w:rsid w:val="008D76C0"/>
    <w:rsid w:val="008D7C42"/>
    <w:rsid w:val="008F434A"/>
    <w:rsid w:val="009173D8"/>
    <w:rsid w:val="00924FF2"/>
    <w:rsid w:val="009261FB"/>
    <w:rsid w:val="009336E4"/>
    <w:rsid w:val="0095028A"/>
    <w:rsid w:val="00953616"/>
    <w:rsid w:val="00961354"/>
    <w:rsid w:val="009743CD"/>
    <w:rsid w:val="009779E0"/>
    <w:rsid w:val="0099351A"/>
    <w:rsid w:val="009D4321"/>
    <w:rsid w:val="009D6199"/>
    <w:rsid w:val="009D7CB0"/>
    <w:rsid w:val="009E0604"/>
    <w:rsid w:val="00A00099"/>
    <w:rsid w:val="00A2568F"/>
    <w:rsid w:val="00A35D8F"/>
    <w:rsid w:val="00A43E4F"/>
    <w:rsid w:val="00A4775E"/>
    <w:rsid w:val="00A57B22"/>
    <w:rsid w:val="00A61CED"/>
    <w:rsid w:val="00A74192"/>
    <w:rsid w:val="00A824A2"/>
    <w:rsid w:val="00A91C99"/>
    <w:rsid w:val="00AA5907"/>
    <w:rsid w:val="00AB4ED7"/>
    <w:rsid w:val="00AD17BB"/>
    <w:rsid w:val="00AE52A9"/>
    <w:rsid w:val="00AF500B"/>
    <w:rsid w:val="00B132F8"/>
    <w:rsid w:val="00B2782B"/>
    <w:rsid w:val="00B434DA"/>
    <w:rsid w:val="00B4693B"/>
    <w:rsid w:val="00B77116"/>
    <w:rsid w:val="00B910D6"/>
    <w:rsid w:val="00B969BD"/>
    <w:rsid w:val="00BA58BF"/>
    <w:rsid w:val="00BB47FD"/>
    <w:rsid w:val="00C05967"/>
    <w:rsid w:val="00C11C96"/>
    <w:rsid w:val="00C12176"/>
    <w:rsid w:val="00C17CE0"/>
    <w:rsid w:val="00C246F3"/>
    <w:rsid w:val="00C2790E"/>
    <w:rsid w:val="00C27AB9"/>
    <w:rsid w:val="00C64143"/>
    <w:rsid w:val="00C74ED5"/>
    <w:rsid w:val="00C85A7B"/>
    <w:rsid w:val="00C8704A"/>
    <w:rsid w:val="00C97D4D"/>
    <w:rsid w:val="00CB2067"/>
    <w:rsid w:val="00CC1C2E"/>
    <w:rsid w:val="00CD5931"/>
    <w:rsid w:val="00CE74AD"/>
    <w:rsid w:val="00D05592"/>
    <w:rsid w:val="00D24596"/>
    <w:rsid w:val="00D25F71"/>
    <w:rsid w:val="00D3258A"/>
    <w:rsid w:val="00D4083B"/>
    <w:rsid w:val="00D45F0D"/>
    <w:rsid w:val="00D550D7"/>
    <w:rsid w:val="00D76319"/>
    <w:rsid w:val="00D969D2"/>
    <w:rsid w:val="00DA4475"/>
    <w:rsid w:val="00DA7A1C"/>
    <w:rsid w:val="00DB0056"/>
    <w:rsid w:val="00DB3077"/>
    <w:rsid w:val="00DB7CD3"/>
    <w:rsid w:val="00DB7F21"/>
    <w:rsid w:val="00DC493C"/>
    <w:rsid w:val="00DD077C"/>
    <w:rsid w:val="00DE2090"/>
    <w:rsid w:val="00DE5DA3"/>
    <w:rsid w:val="00DF7A12"/>
    <w:rsid w:val="00E65A15"/>
    <w:rsid w:val="00E667E1"/>
    <w:rsid w:val="00E7721C"/>
    <w:rsid w:val="00E80AA8"/>
    <w:rsid w:val="00EA40E1"/>
    <w:rsid w:val="00EB7A68"/>
    <w:rsid w:val="00EC2C7D"/>
    <w:rsid w:val="00EE5593"/>
    <w:rsid w:val="00EE7F4B"/>
    <w:rsid w:val="00EF2E1D"/>
    <w:rsid w:val="00EF4262"/>
    <w:rsid w:val="00EF6860"/>
    <w:rsid w:val="00F040DD"/>
    <w:rsid w:val="00F1792E"/>
    <w:rsid w:val="00F2008C"/>
    <w:rsid w:val="00F27E41"/>
    <w:rsid w:val="00F41322"/>
    <w:rsid w:val="00F42338"/>
    <w:rsid w:val="00F65320"/>
    <w:rsid w:val="00F759EA"/>
    <w:rsid w:val="00F912B3"/>
    <w:rsid w:val="00FA49E4"/>
    <w:rsid w:val="00FA4AE2"/>
    <w:rsid w:val="00FB778E"/>
    <w:rsid w:val="00FC3D97"/>
    <w:rsid w:val="00FD3E68"/>
    <w:rsid w:val="00FE3771"/>
    <w:rsid w:val="00FE6D7C"/>
    <w:rsid w:val="00FF0356"/>
    <w:rsid w:val="00FF6C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CE23D-CFBF-43B3-847C-77CA3281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5</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30</cp:revision>
  <cp:lastPrinted>2002-04-23T09:10:00Z</cp:lastPrinted>
  <dcterms:created xsi:type="dcterms:W3CDTF">2019-04-01T15:42:00Z</dcterms:created>
  <dcterms:modified xsi:type="dcterms:W3CDTF">2019-05-02T10:41:00Z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